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B9D0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PROJEKTNI ZADATAK </w:t>
      </w:r>
    </w:p>
    <w:p w14:paraId="23434618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6E4CA60" w14:textId="77777777" w:rsidR="00945AEF" w:rsidRDefault="00514D68">
      <w:pPr>
        <w:pStyle w:val="Naslov1"/>
        <w:ind w:left="-5"/>
      </w:pPr>
      <w:r>
        <w:t xml:space="preserve">UVOD </w:t>
      </w:r>
    </w:p>
    <w:p w14:paraId="7234C5E6" w14:textId="77777777" w:rsidR="00945AEF" w:rsidRDefault="00514D68">
      <w:pPr>
        <w:spacing w:after="16"/>
        <w:ind w:left="-15" w:firstLine="698"/>
      </w:pPr>
      <w:r>
        <w:t xml:space="preserve">Grad Osijek planira </w:t>
      </w:r>
      <w:r>
        <w:t xml:space="preserve">izvršiti zahvat </w:t>
      </w:r>
      <w:r>
        <w:t xml:space="preserve">rekonstrukcije restorana </w:t>
      </w:r>
      <w:r>
        <w:t>„</w:t>
      </w:r>
      <w:proofErr w:type="spellStart"/>
      <w:r>
        <w:t>Copacabana</w:t>
      </w:r>
      <w:proofErr w:type="spellEnd"/>
      <w:r>
        <w:t>“</w:t>
      </w:r>
      <w:r>
        <w:t xml:space="preserve"> na </w:t>
      </w:r>
      <w:r>
        <w:t>ŠRC „</w:t>
      </w:r>
      <w:proofErr w:type="spellStart"/>
      <w:r>
        <w:t>Copacabana</w:t>
      </w:r>
      <w:proofErr w:type="spellEnd"/>
      <w:r>
        <w:t>“</w:t>
      </w:r>
      <w:r>
        <w:t xml:space="preserve">, Biljska cesta 1D, </w:t>
      </w:r>
      <w:r>
        <w:t xml:space="preserve">na k.č.br. </w:t>
      </w:r>
      <w:r>
        <w:t xml:space="preserve">652/1, k.o. </w:t>
      </w:r>
      <w:r>
        <w:t>Tvrđavica –</w:t>
      </w:r>
      <w:r>
        <w:t xml:space="preserve"> </w:t>
      </w:r>
      <w:proofErr w:type="spellStart"/>
      <w:r>
        <w:t>Podravlje</w:t>
      </w:r>
      <w:proofErr w:type="spellEnd"/>
      <w:r>
        <w:t xml:space="preserve">, radi ponovnog stavljanja prostora u funkciju, te je ovim projektnim zadatkom potrebno: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Izraditi idejno rješenje</w:t>
      </w:r>
      <w:r>
        <w:t xml:space="preserve"> </w:t>
      </w:r>
    </w:p>
    <w:p w14:paraId="6D990083" w14:textId="77777777" w:rsidR="00945AEF" w:rsidRDefault="00514D68">
      <w:pPr>
        <w:numPr>
          <w:ilvl w:val="0"/>
          <w:numId w:val="1"/>
        </w:numPr>
        <w:ind w:hanging="360"/>
      </w:pPr>
      <w:r>
        <w:t>ishoditi posebne uvjete građenja</w:t>
      </w:r>
      <w:r>
        <w:t xml:space="preserve"> </w:t>
      </w:r>
      <w:r>
        <w:t>i uvjete priključenja</w:t>
      </w:r>
      <w:r>
        <w:t xml:space="preserve"> </w:t>
      </w:r>
    </w:p>
    <w:p w14:paraId="21B59A74" w14:textId="77777777" w:rsidR="00945AEF" w:rsidRDefault="00514D68">
      <w:pPr>
        <w:numPr>
          <w:ilvl w:val="0"/>
          <w:numId w:val="1"/>
        </w:numPr>
        <w:spacing w:after="54"/>
        <w:ind w:hanging="360"/>
      </w:pPr>
      <w:r>
        <w:t xml:space="preserve">izraditi Glavne projekte </w:t>
      </w:r>
      <w:proofErr w:type="spellStart"/>
      <w:r>
        <w:t>projekte</w:t>
      </w:r>
      <w:proofErr w:type="spellEnd"/>
      <w:r>
        <w:t xml:space="preserve"> rekonstrukcije zgrade i ishoditi </w:t>
      </w:r>
      <w:r>
        <w:t>građevinsk</w:t>
      </w:r>
      <w:r>
        <w:t xml:space="preserve">u dozvolu </w:t>
      </w:r>
      <w:r>
        <w:t xml:space="preserve">prema čl. 75 Zakona o gradnji bez dijela glavnog projekta kojim se daje tehničko rješenje završne obrade ploha podova, zidova i stropova, </w:t>
      </w:r>
      <w:proofErr w:type="spellStart"/>
      <w:r>
        <w:t>nenosivih</w:t>
      </w:r>
      <w:proofErr w:type="spellEnd"/>
      <w:r>
        <w:t xml:space="preserve"> pregradnih zidova, </w:t>
      </w:r>
      <w:r>
        <w:t xml:space="preserve">razvoda instalacija </w:t>
      </w:r>
    </w:p>
    <w:p w14:paraId="4EF3072B" w14:textId="77777777" w:rsidR="00945AEF" w:rsidRDefault="00514D68">
      <w:pPr>
        <w:numPr>
          <w:ilvl w:val="0"/>
          <w:numId w:val="1"/>
        </w:numPr>
        <w:ind w:hanging="360"/>
      </w:pPr>
      <w:r>
        <w:t>izraditi troškovnik</w:t>
      </w:r>
      <w:r>
        <w:t xml:space="preserve"> </w:t>
      </w:r>
    </w:p>
    <w:p w14:paraId="5C66CAD8" w14:textId="77777777" w:rsidR="00945AEF" w:rsidRDefault="00514D68">
      <w:pPr>
        <w:numPr>
          <w:ilvl w:val="0"/>
          <w:numId w:val="1"/>
        </w:numPr>
        <w:ind w:hanging="360"/>
      </w:pPr>
      <w:r>
        <w:t xml:space="preserve">izraditi 3D vizualizaciju s uklapanjem u postojeći prostor i PowerPoint prezentaciju </w:t>
      </w:r>
      <w:r>
        <w:t xml:space="preserve"> </w:t>
      </w:r>
    </w:p>
    <w:p w14:paraId="6E80B295" w14:textId="77777777" w:rsidR="00945AEF" w:rsidRDefault="00514D68">
      <w:pPr>
        <w:numPr>
          <w:ilvl w:val="0"/>
          <w:numId w:val="1"/>
        </w:numPr>
        <w:ind w:hanging="360"/>
      </w:pPr>
      <w:r>
        <w:t>pružiti</w:t>
      </w:r>
      <w:r>
        <w:t xml:space="preserve"> </w:t>
      </w:r>
      <w:r>
        <w:t>usluge koordinatora zaštite na radu tijekom izrade projektne dokumentacije</w:t>
      </w:r>
      <w:r>
        <w:t xml:space="preserve"> </w:t>
      </w:r>
    </w:p>
    <w:p w14:paraId="5A4FF078" w14:textId="77777777" w:rsidR="00945AEF" w:rsidRDefault="00514D68">
      <w:pPr>
        <w:numPr>
          <w:ilvl w:val="0"/>
          <w:numId w:val="1"/>
        </w:numPr>
        <w:spacing w:after="27"/>
        <w:ind w:hanging="360"/>
      </w:pPr>
      <w:r>
        <w:t xml:space="preserve">osigurati pravovremenu </w:t>
      </w:r>
      <w:r>
        <w:t>stručn</w:t>
      </w:r>
      <w:r>
        <w:t xml:space="preserve">u </w:t>
      </w:r>
      <w:r>
        <w:t>pomoć</w:t>
      </w:r>
      <w:r>
        <w:t xml:space="preserve"> </w:t>
      </w:r>
      <w:r>
        <w:t>i pojašnjenja na upite ponuditelja tijekom provođenja</w:t>
      </w:r>
      <w:r>
        <w:t xml:space="preserve"> postupka javne nabave </w:t>
      </w:r>
      <w:r>
        <w:t>za izvođača radova i stručni nadzor</w:t>
      </w:r>
      <w:r>
        <w:rPr>
          <w:b/>
        </w:rPr>
        <w:t xml:space="preserve"> </w:t>
      </w:r>
    </w:p>
    <w:p w14:paraId="47C90CA0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F63896" w14:textId="77777777" w:rsidR="00945AEF" w:rsidRDefault="00514D68">
      <w:pPr>
        <w:pStyle w:val="Naslov1"/>
        <w:ind w:left="-5"/>
      </w:pPr>
      <w:r>
        <w:t xml:space="preserve">LOKACIJA </w:t>
      </w:r>
    </w:p>
    <w:p w14:paraId="2EE57988" w14:textId="77777777" w:rsidR="00945AEF" w:rsidRDefault="00514D68">
      <w:pPr>
        <w:spacing w:after="0"/>
        <w:ind w:left="-15" w:firstLine="698"/>
      </w:pPr>
      <w:r>
        <w:t xml:space="preserve">Zgrada </w:t>
      </w:r>
      <w:r>
        <w:t>restorana „</w:t>
      </w:r>
      <w:proofErr w:type="spellStart"/>
      <w:r>
        <w:t>Copacabana</w:t>
      </w:r>
      <w:proofErr w:type="spellEnd"/>
      <w:r>
        <w:t>“ izgrađena</w:t>
      </w:r>
      <w:r>
        <w:t xml:space="preserve"> je </w:t>
      </w:r>
      <w:r>
        <w:t xml:space="preserve">na k.č.br. </w:t>
      </w:r>
      <w:r>
        <w:t xml:space="preserve">652/1 k.o. </w:t>
      </w:r>
      <w:r>
        <w:t>Tvrđavica</w:t>
      </w:r>
      <w:r>
        <w:t>-</w:t>
      </w:r>
      <w:proofErr w:type="spellStart"/>
      <w:r>
        <w:t>Podravlje</w:t>
      </w:r>
      <w:proofErr w:type="spellEnd"/>
      <w:r>
        <w:t xml:space="preserve">, na adresi Biljska cesta 1D, Osijek. </w:t>
      </w:r>
    </w:p>
    <w:p w14:paraId="3474223C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522ABE" w14:textId="77777777" w:rsidR="00945AEF" w:rsidRDefault="00514D68">
      <w:pPr>
        <w:pStyle w:val="Naslov1"/>
        <w:ind w:left="-5"/>
      </w:pPr>
      <w:r>
        <w:t>POSTOJEĆE STANJE</w:t>
      </w:r>
      <w:r>
        <w:t xml:space="preserve"> </w:t>
      </w:r>
    </w:p>
    <w:p w14:paraId="793E97C8" w14:textId="77777777" w:rsidR="00945AEF" w:rsidRDefault="00514D68">
      <w:pPr>
        <w:spacing w:after="0"/>
        <w:ind w:left="-15" w:firstLine="698"/>
      </w:pPr>
      <w:r>
        <w:t xml:space="preserve">Obuhvat zahvata nalazi se u zoni sportsko-rekreacijske namjene. Zgrada se sastoji od osnovnog armirano-betonskog dijela, te </w:t>
      </w:r>
      <w:r>
        <w:t xml:space="preserve">zidanih i čeličnih </w:t>
      </w:r>
      <w:r>
        <w:t>nadogradnji</w:t>
      </w:r>
      <w:r>
        <w:t xml:space="preserve">. Svi dijelovi obuhvaćeni </w:t>
      </w:r>
      <w:r>
        <w:t>su M</w:t>
      </w:r>
      <w:r>
        <w:t>išljenjem projektanta o stanju konstrukcije</w:t>
      </w:r>
      <w:r>
        <w:t xml:space="preserve"> izra</w:t>
      </w:r>
      <w:r>
        <w:t xml:space="preserve">đeno u Opus d.o.o., </w:t>
      </w:r>
      <w:r>
        <w:t xml:space="preserve">projektant: Tihana </w:t>
      </w:r>
      <w:r>
        <w:t xml:space="preserve">Mijić, </w:t>
      </w:r>
      <w:proofErr w:type="spellStart"/>
      <w:r>
        <w:t>dipl.ing.građ</w:t>
      </w:r>
      <w:proofErr w:type="spellEnd"/>
      <w:r>
        <w:t>.</w:t>
      </w:r>
      <w:r>
        <w:t xml:space="preserve">, oznake: OP 59/22, </w:t>
      </w:r>
      <w:r>
        <w:t xml:space="preserve">ožujak 2023/svibanj 2026. </w:t>
      </w:r>
      <w:r>
        <w:t xml:space="preserve">koje se nalazi u prilogu. </w:t>
      </w:r>
    </w:p>
    <w:p w14:paraId="7151CEE9" w14:textId="77777777" w:rsidR="00945AEF" w:rsidRDefault="00514D68">
      <w:pPr>
        <w:spacing w:after="0"/>
        <w:ind w:left="-15" w:firstLine="698"/>
      </w:pPr>
      <w:r>
        <w:t xml:space="preserve">Za zgradu je </w:t>
      </w:r>
      <w:r>
        <w:t xml:space="preserve">izrađen projekt </w:t>
      </w:r>
      <w:r>
        <w:t xml:space="preserve">energetske obnove i projekt fotonaponske elektrane koji treba inkorporirati u Glavni projekt. </w:t>
      </w:r>
    </w:p>
    <w:p w14:paraId="6A7BB934" w14:textId="77777777" w:rsidR="00945AEF" w:rsidRDefault="00514D68">
      <w:pPr>
        <w:spacing w:after="0" w:line="259" w:lineRule="auto"/>
        <w:ind w:left="0" w:firstLine="0"/>
        <w:jc w:val="left"/>
      </w:pPr>
      <w:r>
        <w:t xml:space="preserve"> </w:t>
      </w:r>
    </w:p>
    <w:p w14:paraId="277CE3C6" w14:textId="77777777" w:rsidR="00945AEF" w:rsidRDefault="00514D68">
      <w:pPr>
        <w:pStyle w:val="Naslov1"/>
        <w:ind w:left="-5"/>
      </w:pPr>
      <w:r>
        <w:t xml:space="preserve">CILJEVI I </w:t>
      </w:r>
      <w:r>
        <w:t xml:space="preserve">ZADAĆA PROJEKTA </w:t>
      </w:r>
      <w:r>
        <w:t xml:space="preserve"> </w:t>
      </w:r>
    </w:p>
    <w:p w14:paraId="7D3ADB46" w14:textId="77777777" w:rsidR="00945AEF" w:rsidRDefault="00514D68">
      <w:pPr>
        <w:ind w:left="-15" w:firstLine="708"/>
      </w:pPr>
      <w:r>
        <w:t>Ciljevi planirane rekonstrukcije p</w:t>
      </w:r>
      <w:r>
        <w:t>ostojeće građevine unutar ŠRC „</w:t>
      </w:r>
      <w:proofErr w:type="spellStart"/>
      <w:r>
        <w:t>Copacabana</w:t>
      </w:r>
      <w:proofErr w:type="spellEnd"/>
      <w:r>
        <w:t>“</w:t>
      </w:r>
      <w:r>
        <w:t xml:space="preserve"> i otvorenog prostora oko iste baziraju se </w:t>
      </w:r>
      <w:r>
        <w:t xml:space="preserve">na iskorištavanju potencijala sadržaja zatečenih u </w:t>
      </w:r>
      <w:r>
        <w:t xml:space="preserve">zadanom obuhvatu. Podizanjem </w:t>
      </w:r>
      <w:r>
        <w:t>kvalitete i povećanj</w:t>
      </w:r>
      <w:r>
        <w:t xml:space="preserve">em </w:t>
      </w:r>
      <w:r>
        <w:t xml:space="preserve">načina i mogućnosti korištenja postojećeg </w:t>
      </w:r>
      <w:r>
        <w:t xml:space="preserve">prostora, </w:t>
      </w:r>
      <w:r>
        <w:t xml:space="preserve">Grad Osijek namjerava unaprijediti </w:t>
      </w:r>
      <w:r>
        <w:t>zatečeno</w:t>
      </w:r>
      <w:r>
        <w:t xml:space="preserve"> stanje kako bi se stvorio funkcionalan i kvalitetan </w:t>
      </w:r>
      <w:r>
        <w:t>prostor u smislu povećanja i podizanja kvalitete prostora te pružanja mogućnosti</w:t>
      </w:r>
      <w:r>
        <w:t xml:space="preserve"> </w:t>
      </w:r>
      <w:r>
        <w:t xml:space="preserve">različitih režima njegovog korištenja </w:t>
      </w:r>
      <w:r>
        <w:t xml:space="preserve">i </w:t>
      </w:r>
      <w:r>
        <w:t>zadržavanja ljudi t</w:t>
      </w:r>
      <w:r>
        <w:t>ijekom cijelog dana.</w:t>
      </w:r>
      <w:r>
        <w:rPr>
          <w:b/>
        </w:rPr>
        <w:t xml:space="preserve"> </w:t>
      </w:r>
    </w:p>
    <w:p w14:paraId="55FAFD0C" w14:textId="77777777" w:rsidR="00945AEF" w:rsidRDefault="00514D68">
      <w:pPr>
        <w:spacing w:after="0"/>
        <w:ind w:left="-15" w:firstLine="698"/>
      </w:pPr>
      <w:r>
        <w:t>Osnovn</w:t>
      </w:r>
      <w:r>
        <w:t xml:space="preserve">a zadaća </w:t>
      </w:r>
      <w:r>
        <w:t xml:space="preserve">ovog projektnog zadatka je izrada projektne dokumentacije za rekonstrukciju </w:t>
      </w:r>
      <w:r>
        <w:t>restorana „</w:t>
      </w:r>
      <w:proofErr w:type="spellStart"/>
      <w:r>
        <w:t>Copacabana</w:t>
      </w:r>
      <w:proofErr w:type="spellEnd"/>
      <w:r>
        <w:t>“</w:t>
      </w:r>
      <w:r>
        <w:t xml:space="preserve">, sukladno Zakonu o gradnji (NN 155/25) i Zakonu o </w:t>
      </w:r>
      <w:r>
        <w:t>prostornom uređenju (</w:t>
      </w:r>
      <w:r>
        <w:t xml:space="preserve">NN 155/25) te sukladno ostalim propisima i pravilima struke.  </w:t>
      </w:r>
    </w:p>
    <w:p w14:paraId="18CA8F80" w14:textId="77777777" w:rsidR="00945AEF" w:rsidRDefault="00514D68">
      <w:pPr>
        <w:ind w:left="-15" w:firstLine="708"/>
      </w:pPr>
      <w:r>
        <w:t xml:space="preserve">Navedenu projektnu dokumentaciju za rekonstrukciju </w:t>
      </w:r>
      <w:r>
        <w:t>zgrade restorana „</w:t>
      </w:r>
      <w:proofErr w:type="spellStart"/>
      <w:r>
        <w:t>Copacabana</w:t>
      </w:r>
      <w:proofErr w:type="spellEnd"/>
      <w:r>
        <w:t>“</w:t>
      </w:r>
      <w:r>
        <w:t xml:space="preserve"> izraditi optimalno (prostorno i financijski gledano) sukladno prostorno planskoj dokumentaciji </w:t>
      </w:r>
      <w:r>
        <w:t xml:space="preserve">te primjenom odredbi Zakona, važećih propisa i pravilnika HR normi i dobroj inženjerskoj </w:t>
      </w:r>
      <w:r>
        <w:t xml:space="preserve">praksi </w:t>
      </w:r>
      <w:r>
        <w:t>te da njegova gradnja i uporaba u konačnici bude održiva, ekonomski i financijski isplativa te ekološki osviještena i energetski učinkovita.</w:t>
      </w:r>
      <w:r>
        <w:rPr>
          <w:sz w:val="20"/>
        </w:rPr>
        <w:t xml:space="preserve"> </w:t>
      </w:r>
    </w:p>
    <w:p w14:paraId="2DEFE8AF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BE4A7A" w14:textId="77777777" w:rsidR="00945AEF" w:rsidRDefault="00514D68">
      <w:pPr>
        <w:pStyle w:val="Naslov1"/>
        <w:ind w:left="-5"/>
      </w:pPr>
      <w:r>
        <w:lastRenderedPageBreak/>
        <w:t xml:space="preserve">SMJERNICE ZA IZRADU PROJEKTA </w:t>
      </w:r>
    </w:p>
    <w:p w14:paraId="0A3C2069" w14:textId="77777777" w:rsidR="00945AEF" w:rsidRDefault="00514D68">
      <w:pPr>
        <w:numPr>
          <w:ilvl w:val="0"/>
          <w:numId w:val="2"/>
        </w:numPr>
        <w:spacing w:after="37"/>
        <w:ind w:hanging="283"/>
      </w:pPr>
      <w:r>
        <w:t xml:space="preserve">Rekonstruirati zgradu </w:t>
      </w:r>
      <w:r>
        <w:t>u postojećim gabaritima (24,10 x 35,38 m + 4,30</w:t>
      </w:r>
      <w:r>
        <w:t xml:space="preserve"> x 5,20 m) odnosno DIO A, DIO B, DIO D i DIO E, a dijelove koji ne zadovoljavaju osnovne zahtjeve u pogledu </w:t>
      </w:r>
      <w:r>
        <w:t>mehaničke otpornosti i stabilnosti</w:t>
      </w:r>
      <w:r>
        <w:t xml:space="preserve"> (DIO C i DIO C1 dimenzija 31,50 x 6,40 m) potrebno je  ukloniti</w:t>
      </w:r>
      <w:r>
        <w:rPr>
          <w:color w:val="808080"/>
        </w:rPr>
        <w:t xml:space="preserve"> </w:t>
      </w:r>
    </w:p>
    <w:p w14:paraId="3FB419D0" w14:textId="77777777" w:rsidR="00945AEF" w:rsidRDefault="00514D68">
      <w:pPr>
        <w:numPr>
          <w:ilvl w:val="0"/>
          <w:numId w:val="2"/>
        </w:numPr>
        <w:spacing w:after="35"/>
        <w:ind w:hanging="283"/>
      </w:pPr>
      <w:r>
        <w:t>Potrebno je analizirati i pronaći optimalnu tlocrtnu raspodjelu prostora unutar poslovne zgrade, uzimajući u obzir specifične potrebe buduć</w:t>
      </w:r>
      <w:r>
        <w:t xml:space="preserve">eg korisnika zgrade (restoran) </w:t>
      </w:r>
    </w:p>
    <w:p w14:paraId="7B4F06D8" w14:textId="77777777" w:rsidR="00945AEF" w:rsidRDefault="00514D68">
      <w:pPr>
        <w:numPr>
          <w:ilvl w:val="0"/>
          <w:numId w:val="2"/>
        </w:numPr>
        <w:ind w:hanging="283"/>
      </w:pPr>
      <w:r>
        <w:t xml:space="preserve">Provjeriti i osigurati mehaničku otpornost i stabilnost konstrukcije </w:t>
      </w:r>
      <w:r>
        <w:t xml:space="preserve">osnovnog dijela zgrade </w:t>
      </w:r>
    </w:p>
    <w:p w14:paraId="21C674D9" w14:textId="77777777" w:rsidR="00945AEF" w:rsidRDefault="00514D68">
      <w:pPr>
        <w:spacing w:after="37"/>
        <w:ind w:left="283" w:firstLine="0"/>
      </w:pPr>
      <w:r>
        <w:t xml:space="preserve">(DIO A) i nadogradnji (DIO B, DIO D, DIO E) </w:t>
      </w:r>
      <w:r>
        <w:t>primjereno projektiranim rješenjima</w:t>
      </w:r>
      <w:r>
        <w:t xml:space="preserve"> </w:t>
      </w:r>
    </w:p>
    <w:p w14:paraId="557D5D5B" w14:textId="77777777" w:rsidR="00945AEF" w:rsidRDefault="00514D68">
      <w:pPr>
        <w:numPr>
          <w:ilvl w:val="0"/>
          <w:numId w:val="2"/>
        </w:numPr>
        <w:spacing w:after="122"/>
        <w:ind w:hanging="283"/>
      </w:pPr>
      <w:r>
        <w:t>P</w:t>
      </w:r>
      <w:r>
        <w:t>redvidjeti električnu punionicu vozila</w:t>
      </w:r>
      <w:r>
        <w:t xml:space="preserve">. </w:t>
      </w:r>
    </w:p>
    <w:p w14:paraId="4573528F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33245E" w14:textId="77777777" w:rsidR="00945AEF" w:rsidRDefault="00514D68">
      <w:pPr>
        <w:pStyle w:val="Naslov1"/>
        <w:ind w:left="-5"/>
      </w:pPr>
      <w:r>
        <w:t xml:space="preserve">PROSTORNO-PLANSKA DOKUMENTACIJA </w:t>
      </w:r>
    </w:p>
    <w:p w14:paraId="690723FB" w14:textId="77777777" w:rsidR="00945AEF" w:rsidRDefault="00514D68">
      <w:pPr>
        <w:spacing w:after="37"/>
        <w:ind w:left="-15" w:firstLine="698"/>
      </w:pPr>
      <w:r>
        <w:t xml:space="preserve">Predmetna projektna dokumentacija mora biti u skladu s prostorno-planskom dokumentacijom koja je na snazi za predmetnu lokaciju: </w:t>
      </w:r>
    </w:p>
    <w:p w14:paraId="51FC3B82" w14:textId="77777777" w:rsidR="00945AEF" w:rsidRDefault="00514D68">
      <w:pPr>
        <w:numPr>
          <w:ilvl w:val="0"/>
          <w:numId w:val="3"/>
        </w:numPr>
        <w:spacing w:after="28"/>
        <w:ind w:hanging="360"/>
      </w:pPr>
      <w:r>
        <w:t>Prostorni plan uređenja Grada Osijeka</w:t>
      </w:r>
      <w:r>
        <w:rPr>
          <w:b/>
        </w:rPr>
        <w:t xml:space="preserve"> </w:t>
      </w:r>
      <w:r>
        <w:t xml:space="preserve">("Službeni glasnik" Grada Osijeka broj 8/05, </w:t>
      </w:r>
      <w:r>
        <w:t>5/09, 17A/09-ispravak, 12/10, 12/12, 20A/18 i 8A/19-</w:t>
      </w:r>
      <w:r>
        <w:t>pročišćeni tekst</w:t>
      </w:r>
      <w:r>
        <w:t xml:space="preserve">, 24/22) </w:t>
      </w:r>
    </w:p>
    <w:p w14:paraId="5483D692" w14:textId="77777777" w:rsidR="00945AEF" w:rsidRDefault="00514D68">
      <w:pPr>
        <w:numPr>
          <w:ilvl w:val="0"/>
          <w:numId w:val="3"/>
        </w:numPr>
        <w:spacing w:after="0"/>
        <w:ind w:hanging="360"/>
      </w:pPr>
      <w:r>
        <w:t>Generalni urbanistički plan Grada Osijeka ("Službeni glasnik" Grada Osijeka –</w:t>
      </w:r>
      <w:r>
        <w:t xml:space="preserve"> broj 5/06, 12/06-ispravak, 1/07-ispravak, 12/10, 12/11, 12/12, 2/13-ispravak, 4/13-ispravak, 7/14, 11/15, 5/16-ispravak, 2/17 i 6A/18- </w:t>
      </w:r>
      <w:r>
        <w:t>pročišćeni tekst, 13A/20 i 4/21</w:t>
      </w:r>
      <w:r>
        <w:t xml:space="preserve">,24/22 i 4/24) </w:t>
      </w:r>
    </w:p>
    <w:p w14:paraId="60CB91E7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A93636" w14:textId="77777777" w:rsidR="00945AEF" w:rsidRDefault="00514D68">
      <w:pPr>
        <w:pStyle w:val="Naslov1"/>
        <w:ind w:left="-5"/>
      </w:pPr>
      <w:r>
        <w:t xml:space="preserve">RASPOLOŽIVA DOKUMENTACIJA I PODLOGE </w:t>
      </w:r>
      <w:r>
        <w:t xml:space="preserve"> </w:t>
      </w:r>
    </w:p>
    <w:p w14:paraId="0291BA05" w14:textId="77777777" w:rsidR="00945AEF" w:rsidRDefault="00514D68">
      <w:pPr>
        <w:numPr>
          <w:ilvl w:val="0"/>
          <w:numId w:val="4"/>
        </w:numPr>
        <w:spacing w:after="73"/>
        <w:ind w:hanging="425"/>
      </w:pPr>
      <w:r>
        <w:t>Mišljenje projektanta o stanju konstrukcije</w:t>
      </w:r>
      <w:r>
        <w:t xml:space="preserve"> </w:t>
      </w:r>
      <w:r>
        <w:t xml:space="preserve">izrađeno u Opus d.o.o., projektant: Tihana Mijić, </w:t>
      </w:r>
      <w:proofErr w:type="spellStart"/>
      <w:r>
        <w:t>dipl.ing.građ</w:t>
      </w:r>
      <w:proofErr w:type="spellEnd"/>
      <w:r>
        <w:t>., oznake: OP 59/22, ožujak 2023/svibanj 2026</w:t>
      </w:r>
      <w:r>
        <w:rPr>
          <w:color w:val="808080"/>
        </w:rPr>
        <w:t xml:space="preserve">. </w:t>
      </w:r>
      <w:r>
        <w:t xml:space="preserve"> </w:t>
      </w:r>
    </w:p>
    <w:p w14:paraId="2B9A03CC" w14:textId="77777777" w:rsidR="00945AEF" w:rsidRDefault="00514D68">
      <w:pPr>
        <w:numPr>
          <w:ilvl w:val="0"/>
          <w:numId w:val="4"/>
        </w:numPr>
        <w:ind w:hanging="425"/>
      </w:pPr>
      <w:r>
        <w:t xml:space="preserve">Projekt energetske obnove i fotonaponske elektrane izrađen od tvrtke BP Consulting </w:t>
      </w:r>
    </w:p>
    <w:p w14:paraId="4E906282" w14:textId="77777777" w:rsidR="00945AEF" w:rsidRDefault="00514D68">
      <w:pPr>
        <w:spacing w:after="37"/>
        <w:ind w:left="566" w:firstLine="0"/>
      </w:pPr>
      <w:r>
        <w:t xml:space="preserve">d.o.o. ZOP: BP GL-E 10/2022 iz kolovoza 2022. </w:t>
      </w:r>
    </w:p>
    <w:p w14:paraId="141FE4F4" w14:textId="77777777" w:rsidR="00945AEF" w:rsidRDefault="00514D68">
      <w:pPr>
        <w:numPr>
          <w:ilvl w:val="0"/>
          <w:numId w:val="4"/>
        </w:numPr>
        <w:spacing w:after="47" w:line="257" w:lineRule="auto"/>
        <w:ind w:hanging="425"/>
      </w:pPr>
      <w:r>
        <w:t xml:space="preserve">Uporabna dozvola KLASA: UP/I-361-05/18-30/000304 od 24.09.2018. za dogradnju </w:t>
      </w:r>
      <w:r>
        <w:t>stambenog objekta uz postojeći ugostiteljski objekt „</w:t>
      </w:r>
      <w:proofErr w:type="spellStart"/>
      <w:r>
        <w:t>Copacabana</w:t>
      </w:r>
      <w:proofErr w:type="spellEnd"/>
      <w:r>
        <w:t>“ za građevine izgrađene na temelju akta za građenje izdanog do 1. listopada 2007.</w:t>
      </w:r>
      <w:r>
        <w:t xml:space="preserve"> </w:t>
      </w:r>
    </w:p>
    <w:p w14:paraId="269F224F" w14:textId="77777777" w:rsidR="00945AEF" w:rsidRDefault="00514D68">
      <w:pPr>
        <w:numPr>
          <w:ilvl w:val="0"/>
          <w:numId w:val="4"/>
        </w:numPr>
        <w:spacing w:after="70"/>
        <w:ind w:hanging="425"/>
      </w:pPr>
      <w:r>
        <w:t xml:space="preserve">Prostorno planska dokumentacija dostupna je na mrežnim stranicama Grada </w:t>
      </w:r>
      <w:hyperlink r:id="rId7">
        <w:r>
          <w:t>(</w:t>
        </w:r>
      </w:hyperlink>
      <w:hyperlink r:id="rId8">
        <w:r>
          <w:rPr>
            <w:u w:val="single" w:color="000000"/>
          </w:rPr>
          <w:t>www.osijek.hr</w:t>
        </w:r>
      </w:hyperlink>
      <w:hyperlink r:id="rId9">
        <w:r>
          <w:t>)</w:t>
        </w:r>
      </w:hyperlink>
      <w:r>
        <w:t xml:space="preserve"> </w:t>
      </w:r>
    </w:p>
    <w:p w14:paraId="41F3F6FB" w14:textId="77777777" w:rsidR="00945AEF" w:rsidRDefault="00514D68">
      <w:pPr>
        <w:numPr>
          <w:ilvl w:val="0"/>
          <w:numId w:val="4"/>
        </w:numPr>
        <w:ind w:hanging="425"/>
      </w:pPr>
      <w:r>
        <w:t xml:space="preserve">Lokacijska informacija na zahtjev u nadležnom upravnom </w:t>
      </w:r>
      <w:r>
        <w:t xml:space="preserve">odjelu </w:t>
      </w:r>
    </w:p>
    <w:p w14:paraId="4756E38F" w14:textId="77777777" w:rsidR="00945AEF" w:rsidRDefault="00514D68">
      <w:pPr>
        <w:numPr>
          <w:ilvl w:val="0"/>
          <w:numId w:val="4"/>
        </w:numPr>
        <w:spacing w:after="10"/>
        <w:ind w:hanging="425"/>
      </w:pPr>
      <w:r>
        <w:t xml:space="preserve">Kopija katastarskog plana </w:t>
      </w:r>
    </w:p>
    <w:p w14:paraId="6B64BFC3" w14:textId="77777777" w:rsidR="00945AEF" w:rsidRDefault="00514D68">
      <w:pPr>
        <w:numPr>
          <w:ilvl w:val="0"/>
          <w:numId w:val="4"/>
        </w:numPr>
        <w:ind w:hanging="425"/>
      </w:pPr>
      <w:r>
        <w:t xml:space="preserve">Neslužbeni izvadak iz zemljišne knjige za k.č.br. </w:t>
      </w:r>
      <w:r>
        <w:t xml:space="preserve">652/1. k.o. </w:t>
      </w:r>
      <w:r>
        <w:t>Tvrđavica</w:t>
      </w:r>
      <w:r>
        <w:t>-</w:t>
      </w:r>
      <w:proofErr w:type="spellStart"/>
      <w:r>
        <w:t>Podravlje</w:t>
      </w:r>
      <w:proofErr w:type="spellEnd"/>
      <w:r>
        <w:t xml:space="preserve"> </w:t>
      </w:r>
    </w:p>
    <w:p w14:paraId="131D7B60" w14:textId="77777777" w:rsidR="00945AEF" w:rsidRDefault="00514D68">
      <w:pPr>
        <w:numPr>
          <w:ilvl w:val="0"/>
          <w:numId w:val="4"/>
        </w:numPr>
        <w:ind w:hanging="425"/>
      </w:pPr>
      <w:r>
        <w:t xml:space="preserve">Građevinske i uporabne dozvole ŠRC </w:t>
      </w:r>
      <w:proofErr w:type="spellStart"/>
      <w:r>
        <w:t>Copacabana</w:t>
      </w:r>
      <w:proofErr w:type="spellEnd"/>
      <w:r>
        <w:t>:</w:t>
      </w:r>
      <w:r>
        <w:t xml:space="preserve"> </w:t>
      </w:r>
    </w:p>
    <w:p w14:paraId="6D12DC20" w14:textId="77777777" w:rsidR="00945AEF" w:rsidRDefault="00514D68">
      <w:pPr>
        <w:numPr>
          <w:ilvl w:val="0"/>
          <w:numId w:val="5"/>
        </w:numPr>
        <w:spacing w:after="37"/>
        <w:ind w:left="512" w:hanging="370"/>
      </w:pPr>
      <w:r>
        <w:t>G</w:t>
      </w:r>
      <w:r>
        <w:t>rađevinsk</w:t>
      </w:r>
      <w:r>
        <w:t xml:space="preserve">a dozvola KLASA: UP/I-361-03/20-01/000196 od 24.02.2021., </w:t>
      </w:r>
    </w:p>
    <w:p w14:paraId="0793B80E" w14:textId="77777777" w:rsidR="00945AEF" w:rsidRDefault="00514D68">
      <w:pPr>
        <w:numPr>
          <w:ilvl w:val="0"/>
          <w:numId w:val="5"/>
        </w:numPr>
        <w:spacing w:after="32"/>
        <w:ind w:left="512" w:hanging="370"/>
      </w:pPr>
      <w:r>
        <w:t>Rješenj</w:t>
      </w:r>
      <w:r>
        <w:t xml:space="preserve">e </w:t>
      </w:r>
      <w:r>
        <w:t xml:space="preserve">o izmjeni i/ili dopuni građevinske dozvole </w:t>
      </w:r>
      <w:r>
        <w:t xml:space="preserve">KLASA: UP/I-361-03/22-01/000184 od 14.06.2022. i </w:t>
      </w:r>
    </w:p>
    <w:p w14:paraId="4908B173" w14:textId="77777777" w:rsidR="00945AEF" w:rsidRDefault="00514D68">
      <w:pPr>
        <w:numPr>
          <w:ilvl w:val="0"/>
          <w:numId w:val="5"/>
        </w:numPr>
        <w:spacing w:after="37"/>
        <w:ind w:left="512" w:hanging="370"/>
      </w:pPr>
      <w:r>
        <w:t>Rješenj</w:t>
      </w:r>
      <w:r>
        <w:t xml:space="preserve">e o </w:t>
      </w:r>
      <w:r>
        <w:t xml:space="preserve">izmjeni i/ili dopuni građevinske dozvole </w:t>
      </w:r>
      <w:r>
        <w:t>KLASA: UP/I</w:t>
      </w:r>
      <w:r>
        <w:t xml:space="preserve">-361-03/22-01/000352 od 08.11.2022. </w:t>
      </w:r>
    </w:p>
    <w:p w14:paraId="6D8C63BD" w14:textId="77777777" w:rsidR="00945AEF" w:rsidRDefault="00514D68">
      <w:pPr>
        <w:numPr>
          <w:ilvl w:val="0"/>
          <w:numId w:val="5"/>
        </w:numPr>
        <w:spacing w:after="34"/>
        <w:ind w:left="512" w:hanging="370"/>
      </w:pPr>
      <w:r>
        <w:t xml:space="preserve">Rješenje o izmjeni i/ili dopuni građevinske dozvole </w:t>
      </w:r>
      <w:r>
        <w:t xml:space="preserve">KLASA: UP/I-361-03/24-01/000345 od 02.01.2025. </w:t>
      </w:r>
    </w:p>
    <w:p w14:paraId="3DDB3721" w14:textId="77777777" w:rsidR="00945AEF" w:rsidRDefault="00514D68">
      <w:pPr>
        <w:numPr>
          <w:ilvl w:val="0"/>
          <w:numId w:val="5"/>
        </w:numPr>
        <w:spacing w:after="37"/>
        <w:ind w:left="512" w:hanging="370"/>
      </w:pPr>
      <w:r>
        <w:t xml:space="preserve">Uporabna dozvola KLASA: UP/I-361-05/22-01/000081 od 15.07.2022. </w:t>
      </w:r>
      <w:r>
        <w:t>za dio građevine</w:t>
      </w:r>
      <w:r>
        <w:t xml:space="preserve">. </w:t>
      </w:r>
    </w:p>
    <w:p w14:paraId="1DDED55E" w14:textId="77777777" w:rsidR="00945AEF" w:rsidRDefault="00514D68">
      <w:pPr>
        <w:numPr>
          <w:ilvl w:val="0"/>
          <w:numId w:val="5"/>
        </w:numPr>
        <w:spacing w:after="11"/>
        <w:ind w:left="512" w:hanging="370"/>
      </w:pPr>
      <w:r>
        <w:t>Uporabna dozvola KLASA: UP/I-361-05/26-01/000090 od 19.06.2026. za dio g</w:t>
      </w:r>
      <w:r>
        <w:t>rađevine</w:t>
      </w:r>
      <w:r>
        <w:t xml:space="preserve"> </w:t>
      </w:r>
    </w:p>
    <w:p w14:paraId="08AC2B9A" w14:textId="77777777" w:rsidR="00945AEF" w:rsidRDefault="00514D68">
      <w:pPr>
        <w:spacing w:after="0" w:line="259" w:lineRule="auto"/>
        <w:ind w:left="511" w:firstLine="0"/>
        <w:jc w:val="left"/>
      </w:pPr>
      <w:r>
        <w:t xml:space="preserve"> </w:t>
      </w:r>
    </w:p>
    <w:p w14:paraId="50116C1D" w14:textId="77777777" w:rsidR="00945AEF" w:rsidRDefault="00514D68">
      <w:pPr>
        <w:ind w:left="-5"/>
      </w:pPr>
      <w:r>
        <w:rPr>
          <w:i/>
        </w:rPr>
        <w:t xml:space="preserve">Napomena: </w:t>
      </w:r>
      <w:r>
        <w:t>Geodetsku podlogu osigurava Ponuditelj (Projektant) o svom vlastitom trošku</w:t>
      </w:r>
      <w:r>
        <w:t xml:space="preserve">. </w:t>
      </w:r>
    </w:p>
    <w:p w14:paraId="476D8514" w14:textId="77777777" w:rsidR="00945AEF" w:rsidRDefault="00514D68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F97235C" w14:textId="77777777" w:rsidR="00945AEF" w:rsidRDefault="00514D68">
      <w:pPr>
        <w:pStyle w:val="Naslov1"/>
        <w:ind w:left="-5"/>
      </w:pPr>
      <w:r>
        <w:lastRenderedPageBreak/>
        <w:t>SADRŽAJ PROJEKTA</w:t>
      </w:r>
      <w:r>
        <w:t xml:space="preserve"> </w:t>
      </w:r>
    </w:p>
    <w:p w14:paraId="74346B1E" w14:textId="77777777" w:rsidR="00945AEF" w:rsidRDefault="00514D68">
      <w:pPr>
        <w:ind w:left="-15" w:firstLine="708"/>
      </w:pPr>
      <w:r>
        <w:t xml:space="preserve">Glavni projekt je skup međusobno usklađenih projekata kojima se daje tehničko rješenje građevine i dokazuje ispunjavanje temeljnih zahtjeva za građevinu te drugih propisanih </w:t>
      </w:r>
      <w:r>
        <w:t xml:space="preserve">zahtjeva i uvjeta. </w:t>
      </w:r>
    </w:p>
    <w:p w14:paraId="19FE50EB" w14:textId="77777777" w:rsidR="00945AEF" w:rsidRDefault="00514D68">
      <w:pPr>
        <w:spacing w:after="37"/>
        <w:ind w:left="-15" w:firstLine="708"/>
      </w:pPr>
      <w:r>
        <w:t>Glavni projekt građevine mora sadržavati one odgovarajuće projekte pojedinih struka koji su, ovisno o vrsti građevine, potrebni za davanje cjelovitog i usklađenog tehničkog rješenja građevine, prikaza smještaja građevine u prostoru i dokazivanje ispunjavan</w:t>
      </w:r>
      <w:r>
        <w:t xml:space="preserve">ja temeljnih zahtjeva </w:t>
      </w:r>
      <w:r>
        <w:t xml:space="preserve">za građevinu, kao i drugih zahtjeva i uvjeta iz Zakona, uvjeta gradnje na određenoj lokaciji, </w:t>
      </w:r>
      <w:r>
        <w:t xml:space="preserve">posebnih zakona i propisa donesenih na temelju tih zakona. </w:t>
      </w:r>
    </w:p>
    <w:p w14:paraId="4C72F3F4" w14:textId="77777777" w:rsidR="00945AEF" w:rsidRDefault="00514D68">
      <w:pPr>
        <w:spacing w:after="37"/>
        <w:ind w:left="-5"/>
      </w:pPr>
      <w:r>
        <w:t>Arhitektonskim, elektrotehničkim, građevinskim i strojarskim projektima pobliže se obrađuju pojedini sklopovi građevine ili njezini dijelovi odnosno oblikovanje građevine, te se procjenjuju troškovi za njezino građenje.</w:t>
      </w:r>
      <w:r>
        <w:t xml:space="preserve"> </w:t>
      </w:r>
    </w:p>
    <w:p w14:paraId="7105B466" w14:textId="77777777" w:rsidR="00945AEF" w:rsidRDefault="00514D68">
      <w:pPr>
        <w:spacing w:after="37"/>
        <w:ind w:left="-15" w:firstLine="698"/>
      </w:pPr>
      <w:r>
        <w:t xml:space="preserve">Projekt treba izraditi sukladno Zakonu o gradnji (NN 155/25), Zakonu o prostornom </w:t>
      </w:r>
      <w:r>
        <w:t xml:space="preserve">uređenju (NN </w:t>
      </w:r>
      <w:r>
        <w:t>155/25</w:t>
      </w:r>
      <w:r>
        <w:t>), Pravilniku o obveznom sadržaju i opr</w:t>
      </w:r>
      <w:r>
        <w:t>e</w:t>
      </w:r>
      <w:r>
        <w:t xml:space="preserve">manju projekta građevina (NN </w:t>
      </w:r>
      <w:r>
        <w:t>118/19 i 65/20),</w:t>
      </w:r>
      <w:r>
        <w:rPr>
          <w:sz w:val="20"/>
        </w:rPr>
        <w:t xml:space="preserve"> </w:t>
      </w:r>
      <w:r>
        <w:t>Tehnički propis</w:t>
      </w:r>
      <w:r>
        <w:t xml:space="preserve"> </w:t>
      </w:r>
      <w:r>
        <w:t xml:space="preserve">o osiguranju pristupačnosti građevina osobama s invaliditetom </w:t>
      </w:r>
      <w:r>
        <w:t xml:space="preserve">i smanjene pokretljivosti (NN 12/23), Pravilnikom o razvrstavanju i minimalnim uvjetima ugostiteljskih objekata </w:t>
      </w:r>
      <w:r>
        <w:t>iz skupina „Restorani“, „Barovi“, „Catering objekti“ i „Objekti jednostavnih usluga“</w:t>
      </w:r>
      <w:r>
        <w:t xml:space="preserve"> (NN 82/2007, 82/2009, 75/2012, 69/2013, 150/2014) te drugom relevantnom zakonskom regulativom. Ukoliko za neke zahvate ne postoje nacionalni propisi i </w:t>
      </w:r>
      <w:r>
        <w:t>upute, projektant će dogovorno s Naručiteljem primijeniti inozemne smjernice i propise koji obrađuju predmetno područje.</w:t>
      </w:r>
      <w:r>
        <w:t xml:space="preserve"> </w:t>
      </w:r>
    </w:p>
    <w:p w14:paraId="02E6A851" w14:textId="77777777" w:rsidR="00945AEF" w:rsidRDefault="00514D68">
      <w:pPr>
        <w:spacing w:after="37"/>
        <w:ind w:left="-15" w:firstLine="708"/>
      </w:pPr>
      <w:r>
        <w:t>Uz glavne projekte potrebno je izraditi i elaborate (elaborat zaštite od požara, geodetski elaborat, elaborat zaštite na radu i dr.) propisane Zakonom i posebnim propisima, a neophodne za ishođenje građevinske dozvole.</w:t>
      </w:r>
      <w:r>
        <w:t xml:space="preserve"> </w:t>
      </w:r>
      <w:r>
        <w:t xml:space="preserve">Nadalje, potrebno je ishoditi pisano izvješće o kontroli </w:t>
      </w:r>
      <w:r>
        <w:t xml:space="preserve">glavnog projekta, ako je kontrola propisana. </w:t>
      </w:r>
    </w:p>
    <w:p w14:paraId="65D3D742" w14:textId="77777777" w:rsidR="00945AEF" w:rsidRDefault="00514D68">
      <w:pPr>
        <w:spacing w:after="37"/>
        <w:ind w:left="-15" w:firstLine="708"/>
      </w:pPr>
      <w:r>
        <w:t xml:space="preserve">Sve pripremne radove kao i podatke potrebne za pripremu potpunog i kvalitetnog </w:t>
      </w:r>
      <w:r>
        <w:t>dokumenta, a koji ovim Projektnim zadatkom nisu naznačeni Izvršitelj je dužan pribaviti, odnosno pripremiti sam i troškove pribavljanja, odnosno pripremanja uključiti u ponudben</w:t>
      </w:r>
      <w:r>
        <w:t xml:space="preserve">u cijenu. </w:t>
      </w:r>
    </w:p>
    <w:p w14:paraId="0AF5E2C9" w14:textId="77777777" w:rsidR="00945AEF" w:rsidRDefault="00514D68">
      <w:pPr>
        <w:ind w:left="-15" w:firstLine="708"/>
      </w:pPr>
      <w:r>
        <w:t>Projektna dokumentacija mora uz grafičke priloge sadržavati i detaljan tehnički opis i troškovnik za provođenje postupka javne nabave sukladno Zakonu o javnoj nabavi (NN 120/16</w:t>
      </w:r>
      <w:r>
        <w:t xml:space="preserve">, 114/22, 48/26). </w:t>
      </w:r>
    </w:p>
    <w:p w14:paraId="160A0167" w14:textId="77777777" w:rsidR="00945AEF" w:rsidRDefault="00514D68">
      <w:pPr>
        <w:ind w:left="-15" w:firstLine="708"/>
      </w:pPr>
      <w:r>
        <w:t xml:space="preserve">U okviru ovog projektnog zadatka potrebno je izraditi troškovnik </w:t>
      </w:r>
      <w:r>
        <w:t xml:space="preserve">kojim </w:t>
      </w:r>
      <w:r>
        <w:t xml:space="preserve">će </w:t>
      </w:r>
      <w:r>
        <w:t xml:space="preserve">se u opisu </w:t>
      </w:r>
      <w:r>
        <w:t>pojedinih troškovničkih stavki, u strukturi troškovnika predvidjeti i oznak</w:t>
      </w:r>
      <w:r>
        <w:t xml:space="preserve">a </w:t>
      </w:r>
      <w:r>
        <w:t>jedinične mjere, količin</w:t>
      </w:r>
      <w:r>
        <w:t xml:space="preserve">a </w:t>
      </w:r>
      <w:r>
        <w:t>te jediničn</w:t>
      </w:r>
      <w:r>
        <w:t xml:space="preserve">a cijena i ukupna cijena u eurima, a na kraju i rekapitulacija po vrstama radova te sveukupna cijena </w:t>
      </w:r>
      <w:r>
        <w:t>izvođenja. Troškovnik s rekapitulacijom treba sadržavati sve podatke (opis troškovničkih stavki, oznake jedinične mjere, količinu i sl.) koji su potrebni za provođenje cjelovitog postupka javne nabave.</w:t>
      </w:r>
      <w:r>
        <w:t xml:space="preserve"> </w:t>
      </w:r>
      <w:r>
        <w:t xml:space="preserve">Troškovnik treba biti izrađen u dvije verzije, </w:t>
      </w:r>
      <w:r>
        <w:t xml:space="preserve">jedna verzija za potrebe provedbe javne nabave prema Zakonu o javnoj nabavi (bez upisanih </w:t>
      </w:r>
      <w:r>
        <w:t xml:space="preserve">jediničnih cijena) i  jedan s upisanim recentnim jediničnim cijenama za potrebe Naručitelja. Troškovnik predati odvojeno od </w:t>
      </w:r>
      <w:r>
        <w:t xml:space="preserve">Glavnog projekta. </w:t>
      </w:r>
      <w:r>
        <w:t>Izrađeni Glavni projekt te nje</w:t>
      </w:r>
      <w:r>
        <w:t xml:space="preserve">govi sastavni dijelovi </w:t>
      </w:r>
      <w:r>
        <w:t>–</w:t>
      </w:r>
      <w:r>
        <w:t xml:space="preserve"> </w:t>
      </w:r>
      <w:r>
        <w:t>tehnički opis</w:t>
      </w:r>
      <w:r>
        <w:t xml:space="preserve">, </w:t>
      </w:r>
      <w:r>
        <w:t>troškovnik</w:t>
      </w:r>
      <w:r>
        <w:t xml:space="preserve"> i 3D vizualizaciju </w:t>
      </w:r>
      <w:r>
        <w:t xml:space="preserve">koristit će se kao sastavni dio </w:t>
      </w:r>
      <w:r>
        <w:t xml:space="preserve">dokumentacije </w:t>
      </w:r>
      <w:r>
        <w:t xml:space="preserve">o nabavi. Izvršitelj je dužan pružiti stručnu pomoć prilikom provedbe postupka javne nabave što znači da je dužan pripremiti sve potrebne odgovore na pitanja pristigla od </w:t>
      </w:r>
      <w:r>
        <w:t xml:space="preserve">gospodarskih subjekata i ostalih dionika tijekom provedbe predmetnog postupka javne nabave </w:t>
      </w:r>
      <w:r>
        <w:t>sve do sklapanja ugovora o javnoj nabavi. Izvršitelj se obvezuje dokaznicom mjera i troškovnikom predvidjeti stvarne količine materija</w:t>
      </w:r>
      <w:r>
        <w:t xml:space="preserve">la i radova. </w:t>
      </w:r>
    </w:p>
    <w:p w14:paraId="18E491BB" w14:textId="77777777" w:rsidR="00945AEF" w:rsidRDefault="00514D68">
      <w:pPr>
        <w:ind w:left="-15" w:firstLine="708"/>
      </w:pPr>
      <w:r>
        <w:t xml:space="preserve">U sklopu glavnog projekta potrebno je definirati tehničke norme kvalitete materijala i opreme u opisu troškovničkih stavki, a u tehničkom opisu navesti detaljne uvjete dobave, </w:t>
      </w:r>
      <w:r>
        <w:lastRenderedPageBreak/>
        <w:t>izvođenja i održavanja s posebnim naglaskom na način ispitivanja kvalitete izvrš</w:t>
      </w:r>
      <w:r>
        <w:t xml:space="preserve">enih radova i materijala. </w:t>
      </w:r>
    </w:p>
    <w:p w14:paraId="13B76716" w14:textId="77777777" w:rsidR="00945AEF" w:rsidRDefault="00514D68">
      <w:pPr>
        <w:ind w:left="-15" w:firstLine="708"/>
      </w:pPr>
      <w:r>
        <w:t>Izvršitelj je dužan usvojiti sve novonastale izmjene u zakonskoj regulativi koje nastanu tijekom izvršavanja izrade glavnog projekta te ih ugraditi u glavni projekt.</w:t>
      </w:r>
      <w:r>
        <w:t xml:space="preserve"> </w:t>
      </w:r>
    </w:p>
    <w:p w14:paraId="7DFA7AA6" w14:textId="77777777" w:rsidR="00945AEF" w:rsidRDefault="00514D68">
      <w:pPr>
        <w:ind w:left="-15" w:firstLine="708"/>
      </w:pPr>
      <w:r>
        <w:t xml:space="preserve">Izvršitelj je dužan uzeti u obzir odluke nadležnog tijela koje izdaje dozvole u pogledu </w:t>
      </w:r>
      <w:r>
        <w:t xml:space="preserve">izrade glavnog projekta i upravnih postupaka. </w:t>
      </w:r>
    </w:p>
    <w:p w14:paraId="0D403356" w14:textId="77777777" w:rsidR="00945AEF" w:rsidRDefault="00514D68">
      <w:pPr>
        <w:ind w:left="-15" w:firstLine="708"/>
      </w:pPr>
      <w:r>
        <w:t xml:space="preserve">Naručitelj će po zaprimanju dokumentacije pregledati dokumentaciju te istu vratiti na </w:t>
      </w:r>
      <w:r>
        <w:t xml:space="preserve">doradu ukoliko utvrdi nedostatke. </w:t>
      </w:r>
      <w:r>
        <w:t>Izvršitelj se obvezuje postupiti po svim opravdanim primjedbama Naručitelja bez prava na dodatnu naknadu.</w:t>
      </w:r>
      <w:r>
        <w:t xml:space="preserve"> </w:t>
      </w:r>
    </w:p>
    <w:p w14:paraId="72FE159F" w14:textId="77777777" w:rsidR="00945AEF" w:rsidRDefault="00514D68">
      <w:pPr>
        <w:spacing w:after="0" w:line="259" w:lineRule="auto"/>
        <w:ind w:left="0" w:firstLine="0"/>
        <w:jc w:val="left"/>
      </w:pPr>
      <w:r>
        <w:t xml:space="preserve"> </w:t>
      </w:r>
    </w:p>
    <w:p w14:paraId="18907B7C" w14:textId="77777777" w:rsidR="00945AEF" w:rsidRDefault="00514D68">
      <w:pPr>
        <w:pStyle w:val="Naslov1"/>
        <w:ind w:left="-5"/>
      </w:pPr>
      <w:r>
        <w:t>SURADNJA S NARUČITELJEM</w:t>
      </w:r>
      <w:r>
        <w:t xml:space="preserve"> </w:t>
      </w:r>
    </w:p>
    <w:p w14:paraId="79DE0E4C" w14:textId="657963CF" w:rsidR="00945AEF" w:rsidRDefault="00514D68">
      <w:pPr>
        <w:ind w:left="-15" w:firstLine="708"/>
      </w:pPr>
      <w:r>
        <w:t>Tijekom izrade projekta Izvršitelj je obvezan aktivno surađivati s predstavnikom Naručitelja, izvještavati i upoznavati Naručitelja o napretku izrade projekta i predviđenim rješenjima, a sve u cilju izbjegavanja mogućih nedostataka i drugačijih zahtjeva Naručitelja. Izvršitelj je dužan prisustvovati svim radnim sastancima o svom trošku koji će se održavati tijekom izrade projektne dokumentacije,</w:t>
      </w:r>
      <w:r>
        <w:t xml:space="preserve"> na koje će ga pozvati Naručitelj. Naručitelj zadržava pravo primjedbi i sugestija na pojedina rješenja, komplet</w:t>
      </w:r>
      <w:r>
        <w:t xml:space="preserve">nost i nivo razrade projektne dokumentacije, </w:t>
      </w:r>
      <w:r>
        <w:t xml:space="preserve">a Izvršitelj se obvezuje postupiti po svim opravdanim primjedbama Naručitelja </w:t>
      </w:r>
      <w:r>
        <w:t xml:space="preserve">bez prava na dodatnu naknadu. Za sva odstupanja od zadanih elemenata potrebna je pisana </w:t>
      </w:r>
      <w:r>
        <w:t>suglasnost odgovorne osobe Naručitelja. Po dovršetku projektne dokumentacije ista će biti</w:t>
      </w:r>
      <w:r>
        <w:t xml:space="preserve"> </w:t>
      </w:r>
      <w:r>
        <w:t xml:space="preserve">pregledana od strane Naručitelja. Izvršitelj je obvezan izvršiti sve dopune i izmjene dokumentacije po obavljenom pregledu i primjedbama od strane Naručitelja i to sve bez prava </w:t>
      </w:r>
      <w:r>
        <w:t xml:space="preserve">na dodatnu naknadu. </w:t>
      </w:r>
    </w:p>
    <w:p w14:paraId="56D77A09" w14:textId="77777777" w:rsidR="00945AEF" w:rsidRDefault="00514D68">
      <w:pPr>
        <w:ind w:left="-15" w:firstLine="708"/>
      </w:pPr>
      <w:r>
        <w:t xml:space="preserve">Izvršitelj se obvezuje na suradnju sa svim javnim poduzećima, pravnim osobama s </w:t>
      </w:r>
      <w:r>
        <w:t>javnim ovlastima te drugim tijelima koja mogu dati podatke relevantne za izradu Glavnog projekta</w:t>
      </w:r>
      <w:r>
        <w:t>, te za ishođenje potrebnih suglasnosti i dozvola za građenje.</w:t>
      </w:r>
      <w:r>
        <w:t xml:space="preserve"> </w:t>
      </w:r>
    </w:p>
    <w:p w14:paraId="23719200" w14:textId="6F622D2E" w:rsidR="00945AEF" w:rsidRDefault="00514D68">
      <w:pPr>
        <w:ind w:left="-15" w:firstLine="708"/>
      </w:pPr>
      <w:r>
        <w:t>Troškove neophodnih kontrola mehaničke otpornosti i stabilnosti Glavnog projekta</w:t>
      </w:r>
      <w:r>
        <w:t xml:space="preserve"> </w:t>
      </w:r>
      <w:r>
        <w:t>snosit</w:t>
      </w:r>
      <w:r>
        <w:t xml:space="preserve"> će izvršitelj usluge, po utvrđivanju potrebe za istim</w:t>
      </w:r>
      <w:r>
        <w:t xml:space="preserve"> prema Pravilniku o kontroli projekata. </w:t>
      </w:r>
      <w:r>
        <w:t>Izvršitelj se obavezuje izvršiti sve izmjene i dopune u projektnoj dokumentaciji nastale zbog zahtjeva nadležnih tijela za izdavanje potrebnih dozvola.</w:t>
      </w:r>
      <w:r>
        <w:t xml:space="preserve"> </w:t>
      </w:r>
    </w:p>
    <w:p w14:paraId="56FABE99" w14:textId="77777777" w:rsidR="00945AEF" w:rsidRDefault="00514D68">
      <w:pPr>
        <w:ind w:left="-15" w:firstLine="708"/>
      </w:pPr>
      <w:r>
        <w:t>Tijekom izrade Glavnog projekta</w:t>
      </w:r>
      <w:r>
        <w:t>, a prije podnošenja zahtjeva za ishođenje građevinske dozvole, Izvršitelj je obvezan pravovremeno pisanim putem izvještavati ovlaštenu osobu Naručitelja o fazama razrade projekta i prezentirati odabrana tehnička rješenja, materijale i slično,</w:t>
      </w:r>
      <w:r>
        <w:t xml:space="preserve"> a sve kako bi se eventualne primjedbe pravovremeno otklonile. </w:t>
      </w:r>
    </w:p>
    <w:p w14:paraId="6C6EE10D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BC9805" w14:textId="77777777" w:rsidR="00945AEF" w:rsidRDefault="00514D68">
      <w:pPr>
        <w:pStyle w:val="Naslov1"/>
        <w:ind w:left="-5"/>
      </w:pPr>
      <w:r>
        <w:t xml:space="preserve">CIJENA IZRADE PROJEKTNE DOKUMENTACIJE </w:t>
      </w:r>
      <w:r>
        <w:t>I DINAMIKA PLAĆANJA</w:t>
      </w:r>
      <w:r>
        <w:t xml:space="preserve"> </w:t>
      </w:r>
    </w:p>
    <w:p w14:paraId="0220F207" w14:textId="77777777" w:rsidR="00945AEF" w:rsidRDefault="00514D68">
      <w:pPr>
        <w:ind w:left="-15" w:right="3683" w:firstLine="708"/>
      </w:pPr>
      <w:r>
        <w:t>Ponudom i ponuđenom cijenom treba uključiti:</w:t>
      </w:r>
      <w:r>
        <w:t xml:space="preserve"> - </w:t>
      </w:r>
      <w:r>
        <w:t>izradu idejnog rješenja</w:t>
      </w:r>
      <w:r>
        <w:t xml:space="preserve"> </w:t>
      </w:r>
    </w:p>
    <w:p w14:paraId="44F1B3E9" w14:textId="77777777" w:rsidR="00945AEF" w:rsidRDefault="00514D68">
      <w:pPr>
        <w:numPr>
          <w:ilvl w:val="0"/>
          <w:numId w:val="6"/>
        </w:numPr>
        <w:ind w:hanging="142"/>
      </w:pPr>
      <w:r>
        <w:t>ishođenje posebnih uvjeta građenja i uvjeta priključenja</w:t>
      </w:r>
      <w:r>
        <w:t xml:space="preserve"> </w:t>
      </w:r>
    </w:p>
    <w:p w14:paraId="078FC26C" w14:textId="77777777" w:rsidR="00945AEF" w:rsidRDefault="00514D68">
      <w:pPr>
        <w:numPr>
          <w:ilvl w:val="0"/>
          <w:numId w:val="6"/>
        </w:numPr>
        <w:ind w:hanging="142"/>
      </w:pPr>
      <w:r>
        <w:t>izradu Glavnog projekta za rekonstrukciju zgrade s pripadajućom PowerPoint prezentacijom i 3D vizualizacijom zahvata uklopljenog u postojeći prostor</w:t>
      </w:r>
      <w:r>
        <w:t xml:space="preserve"> </w:t>
      </w:r>
    </w:p>
    <w:p w14:paraId="31226C5F" w14:textId="77777777" w:rsidR="00945AEF" w:rsidRDefault="00514D68">
      <w:pPr>
        <w:numPr>
          <w:ilvl w:val="0"/>
          <w:numId w:val="6"/>
        </w:numPr>
        <w:ind w:hanging="142"/>
      </w:pPr>
      <w:r>
        <w:t xml:space="preserve">izradu </w:t>
      </w:r>
      <w:r>
        <w:t>troškovnika</w:t>
      </w:r>
      <w:r>
        <w:t xml:space="preserve"> </w:t>
      </w:r>
    </w:p>
    <w:p w14:paraId="10A448C3" w14:textId="77777777" w:rsidR="00945AEF" w:rsidRDefault="00514D68">
      <w:pPr>
        <w:numPr>
          <w:ilvl w:val="0"/>
          <w:numId w:val="6"/>
        </w:numPr>
        <w:ind w:hanging="142"/>
      </w:pPr>
      <w:r>
        <w:t>ishođenje Građevinske dozvole</w:t>
      </w:r>
      <w:r>
        <w:t xml:space="preserve"> </w:t>
      </w:r>
    </w:p>
    <w:p w14:paraId="098828ED" w14:textId="77777777" w:rsidR="00945AEF" w:rsidRDefault="00514D68">
      <w:pPr>
        <w:numPr>
          <w:ilvl w:val="0"/>
          <w:numId w:val="6"/>
        </w:numPr>
        <w:ind w:hanging="142"/>
      </w:pPr>
      <w:r>
        <w:t>pisano izvješće o kontroli glavnog projekta, ako je kontrola propisana</w:t>
      </w:r>
      <w:r>
        <w:t xml:space="preserve"> </w:t>
      </w:r>
    </w:p>
    <w:p w14:paraId="4796B588" w14:textId="77777777" w:rsidR="00945AEF" w:rsidRDefault="00514D68">
      <w:pPr>
        <w:numPr>
          <w:ilvl w:val="0"/>
          <w:numId w:val="6"/>
        </w:numPr>
        <w:ind w:hanging="142"/>
      </w:pPr>
      <w:r>
        <w:t>usluge koordinatora zaštite na radu tijekom izrade projektne dokumentacije</w:t>
      </w:r>
      <w:r>
        <w:t xml:space="preserve"> </w:t>
      </w:r>
    </w:p>
    <w:p w14:paraId="7BBF0D67" w14:textId="77777777" w:rsidR="00945AEF" w:rsidRDefault="00514D68">
      <w:pPr>
        <w:numPr>
          <w:ilvl w:val="0"/>
          <w:numId w:val="6"/>
        </w:numPr>
        <w:ind w:hanging="142"/>
      </w:pPr>
      <w:r>
        <w:t>stručna pomoć i pojašnjenja na upite ponuditelja tijekom provođenja postupka javne nabave za izvođača radova i stručni nadzor</w:t>
      </w:r>
      <w:r>
        <w:t xml:space="preserve">. </w:t>
      </w:r>
    </w:p>
    <w:p w14:paraId="6B7210F1" w14:textId="77777777" w:rsidR="00945AEF" w:rsidRDefault="00514D68">
      <w:pPr>
        <w:ind w:left="-15" w:firstLine="708"/>
      </w:pPr>
      <w:r>
        <w:t xml:space="preserve">Izvršitelj je u obvezi prije podnošenja ponude o svom trošku detaljno sagledati ovaj Projektni zadatak i izvršiti uvid na samoj lokaciji te ponuđenom cijenom obuhvatiti sve opisane </w:t>
      </w:r>
      <w:r>
        <w:lastRenderedPageBreak/>
        <w:t xml:space="preserve">radove izrade i isporuke projektne dokumentacije </w:t>
      </w:r>
      <w:r>
        <w:t xml:space="preserve">za ishođenje </w:t>
      </w:r>
      <w:r>
        <w:t>g</w:t>
      </w:r>
      <w:r>
        <w:t>rađevinske</w:t>
      </w:r>
      <w:r>
        <w:t xml:space="preserve"> dozvole i ostale </w:t>
      </w:r>
      <w:r>
        <w:t>navedene usluge koje se tiču predmeta posla neovisno jesu li isti posebno naglašeni u Projektnom zadatku i priloženoj dokumentaciji ili nisu te Izvršitelj</w:t>
      </w:r>
      <w:r>
        <w:t xml:space="preserve"> nema pravo ni na kakve </w:t>
      </w:r>
      <w:r>
        <w:t>naknadne troškove s tim u vezi i/ili provođenju upravnih postupaka.</w:t>
      </w:r>
      <w:r>
        <w:t xml:space="preserve"> </w:t>
      </w:r>
      <w:r>
        <w:t xml:space="preserve">Izvršitelj je dužan usvojiti sve novonastale izmjene u zakonskoj regulativi koje nastanu tijekom izvršavanja usluge izrade tehničke dokumentacije te ih ugraditi u </w:t>
      </w:r>
      <w:r>
        <w:t xml:space="preserve">Glavni projekt. </w:t>
      </w:r>
    </w:p>
    <w:p w14:paraId="1200D661" w14:textId="77777777" w:rsidR="00945AEF" w:rsidRDefault="00514D68">
      <w:pPr>
        <w:spacing w:after="0" w:line="259" w:lineRule="auto"/>
        <w:ind w:left="0" w:firstLine="0"/>
        <w:jc w:val="left"/>
      </w:pPr>
      <w:r>
        <w:t xml:space="preserve"> </w:t>
      </w:r>
    </w:p>
    <w:p w14:paraId="452CFF36" w14:textId="77777777" w:rsidR="00945AEF" w:rsidRDefault="00514D68">
      <w:pPr>
        <w:ind w:left="-15" w:firstLine="708"/>
      </w:pPr>
      <w:r>
        <w:t>Plaćanje se vrši prema dinamici ostvarenja povjerenog zadatka</w:t>
      </w:r>
      <w:r>
        <w:t xml:space="preserve">, </w:t>
      </w:r>
      <w:r>
        <w:t xml:space="preserve">a koje uključuje i sve eventualne izmjene do ishođenja pravomoćne građevinske </w:t>
      </w:r>
      <w:r>
        <w:t xml:space="preserve">dozvole. </w:t>
      </w:r>
    </w:p>
    <w:p w14:paraId="6A478864" w14:textId="77777777" w:rsidR="00945AEF" w:rsidRDefault="00514D6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18" w:type="dxa"/>
        <w:tblInd w:w="286" w:type="dxa"/>
        <w:tblCellMar>
          <w:top w:w="6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3182"/>
        <w:gridCol w:w="4818"/>
      </w:tblGrid>
      <w:tr w:rsidR="00945AEF" w14:paraId="477822CF" w14:textId="77777777">
        <w:trPr>
          <w:trHeight w:val="98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4852FF" w14:textId="77777777" w:rsidR="00945AEF" w:rsidRDefault="00514D68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RB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A4E557" w14:textId="77777777" w:rsidR="00945AEF" w:rsidRDefault="00514D6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Aktivnost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AFF193E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Isplata </w:t>
            </w:r>
          </w:p>
        </w:tc>
      </w:tr>
      <w:tr w:rsidR="00945AEF" w14:paraId="1F92548F" w14:textId="77777777">
        <w:trPr>
          <w:trHeight w:val="1493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C3D62" w14:textId="77777777" w:rsidR="00945AEF" w:rsidRDefault="00514D68">
            <w:pPr>
              <w:spacing w:after="0" w:line="259" w:lineRule="auto"/>
              <w:ind w:left="4" w:firstLine="0"/>
              <w:jc w:val="center"/>
            </w:pPr>
            <w:r>
              <w:t xml:space="preserve">1)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BECE" w14:textId="77777777" w:rsidR="00945AEF" w:rsidRDefault="00514D68">
            <w:pPr>
              <w:spacing w:after="0" w:line="259" w:lineRule="auto"/>
              <w:ind w:left="1" w:firstLine="0"/>
              <w:jc w:val="left"/>
            </w:pPr>
            <w:r>
              <w:t>Izrada idejnog rješenja</w:t>
            </w:r>
            <w:r>
              <w:t xml:space="preserve"> / </w:t>
            </w:r>
            <w:r>
              <w:t>Ishođenje posebnih uvjeta</w:t>
            </w:r>
            <w:r>
              <w:t xml:space="preserve"> /  izrada Glavnog projekta, 3D vizualizacije, </w:t>
            </w:r>
            <w:proofErr w:type="spellStart"/>
            <w:r>
              <w:t>Powerpoint</w:t>
            </w:r>
            <w:proofErr w:type="spellEnd"/>
            <w:r>
              <w:t xml:space="preserve"> prezentacije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B562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60% ukupne cijene </w:t>
            </w:r>
          </w:p>
        </w:tc>
      </w:tr>
      <w:tr w:rsidR="00945AEF" w14:paraId="66C0BF2B" w14:textId="77777777">
        <w:trPr>
          <w:trHeight w:val="6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2B16A" w14:textId="77777777" w:rsidR="00945AEF" w:rsidRDefault="00514D68">
            <w:pPr>
              <w:spacing w:after="0" w:line="259" w:lineRule="auto"/>
              <w:ind w:left="4" w:firstLine="0"/>
              <w:jc w:val="center"/>
            </w:pPr>
            <w:r>
              <w:t xml:space="preserve">2)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0395" w14:textId="77777777" w:rsidR="00945AEF" w:rsidRDefault="00514D68">
            <w:pPr>
              <w:spacing w:after="0" w:line="259" w:lineRule="auto"/>
              <w:ind w:left="1" w:firstLine="0"/>
              <w:jc w:val="left"/>
            </w:pPr>
            <w:r>
              <w:t xml:space="preserve">Ishođenje građevinske </w:t>
            </w:r>
            <w:r>
              <w:t xml:space="preserve">dozvole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1F16F5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20% ukupne cijene </w:t>
            </w:r>
          </w:p>
        </w:tc>
      </w:tr>
      <w:tr w:rsidR="00945AEF" w14:paraId="3740760B" w14:textId="77777777">
        <w:trPr>
          <w:trHeight w:val="575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2D2BB" w14:textId="77777777" w:rsidR="00945AEF" w:rsidRDefault="00514D68">
            <w:pPr>
              <w:spacing w:after="0" w:line="259" w:lineRule="auto"/>
              <w:ind w:left="4" w:firstLine="0"/>
              <w:jc w:val="center"/>
            </w:pPr>
            <w:r>
              <w:t xml:space="preserve">3)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AF7F2" w14:textId="77777777" w:rsidR="00945AEF" w:rsidRDefault="00514D68">
            <w:pPr>
              <w:spacing w:after="0" w:line="259" w:lineRule="auto"/>
              <w:ind w:left="1" w:firstLine="0"/>
              <w:jc w:val="left"/>
            </w:pPr>
            <w:r>
              <w:t>Izrada troškovnika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6D89A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20% ukupne cijene </w:t>
            </w:r>
          </w:p>
        </w:tc>
      </w:tr>
    </w:tbl>
    <w:p w14:paraId="3EFD65A1" w14:textId="77777777" w:rsidR="00945AEF" w:rsidRDefault="00514D6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590E2BE" w14:textId="2DAAC33A" w:rsidR="00945AEF" w:rsidRDefault="00945AEF">
      <w:pPr>
        <w:spacing w:after="0" w:line="259" w:lineRule="auto"/>
        <w:ind w:left="0" w:firstLine="0"/>
        <w:jc w:val="left"/>
      </w:pPr>
    </w:p>
    <w:p w14:paraId="2257503E" w14:textId="77777777" w:rsidR="00945AEF" w:rsidRDefault="00514D68">
      <w:pPr>
        <w:pStyle w:val="Naslov1"/>
        <w:ind w:left="-5"/>
      </w:pPr>
      <w:r>
        <w:t xml:space="preserve">ROK IZRADE PROJEKTNE DOKUMENTACIJE </w:t>
      </w:r>
    </w:p>
    <w:p w14:paraId="0AAE1D5D" w14:textId="77777777" w:rsidR="00945AEF" w:rsidRDefault="00514D68">
      <w:pPr>
        <w:ind w:left="718"/>
      </w:pPr>
      <w:r>
        <w:t>Izvršitelj se obvezuje izvršiti usluge u sljedećim rokovima:</w:t>
      </w:r>
      <w:r>
        <w:t xml:space="preserve"> </w:t>
      </w:r>
    </w:p>
    <w:p w14:paraId="54A92D29" w14:textId="13564357" w:rsidR="00945AEF" w:rsidRDefault="00514D68">
      <w:pPr>
        <w:numPr>
          <w:ilvl w:val="0"/>
          <w:numId w:val="7"/>
        </w:numPr>
        <w:ind w:hanging="360"/>
      </w:pPr>
      <w:r>
        <w:t xml:space="preserve">30 dana od </w:t>
      </w:r>
      <w:r w:rsidR="00E50170">
        <w:t>dana primitka narudžbenice</w:t>
      </w:r>
      <w:r>
        <w:t xml:space="preserve"> </w:t>
      </w:r>
      <w:r>
        <w:t xml:space="preserve">za izradu idejnog rješenja i podnošenje zahtjeva </w:t>
      </w:r>
      <w:r>
        <w:t xml:space="preserve">za posebne uvjete </w:t>
      </w:r>
    </w:p>
    <w:p w14:paraId="79365675" w14:textId="77777777" w:rsidR="00945AEF" w:rsidRDefault="00514D68">
      <w:pPr>
        <w:numPr>
          <w:ilvl w:val="0"/>
          <w:numId w:val="7"/>
        </w:numPr>
        <w:spacing w:after="14"/>
        <w:ind w:hanging="360"/>
      </w:pPr>
      <w:r>
        <w:t xml:space="preserve">45 dana za izradu Glavnog projekata, 3D vizualizacije, </w:t>
      </w:r>
      <w:proofErr w:type="spellStart"/>
      <w:r>
        <w:t>Powerpoint</w:t>
      </w:r>
      <w:proofErr w:type="spellEnd"/>
      <w:r>
        <w:t xml:space="preserve"> prezentacije i </w:t>
      </w:r>
      <w:r>
        <w:t>troškovnika</w:t>
      </w:r>
      <w:r>
        <w:t xml:space="preserve"> od </w:t>
      </w:r>
      <w:r>
        <w:t>ishođenja posebnih uvjeta</w:t>
      </w:r>
      <w:r>
        <w:t xml:space="preserve"> </w:t>
      </w:r>
      <w:r>
        <w:t xml:space="preserve">uključivo podnošenje zahtjeva </w:t>
      </w:r>
      <w:r>
        <w:t>za g</w:t>
      </w:r>
      <w:r>
        <w:t>rađevins</w:t>
      </w:r>
      <w:r>
        <w:t>ku dozvolu</w:t>
      </w:r>
      <w:r>
        <w:rPr>
          <w:b/>
        </w:rPr>
        <w:t xml:space="preserve"> </w:t>
      </w:r>
    </w:p>
    <w:p w14:paraId="349FBB2B" w14:textId="77777777" w:rsidR="00945AEF" w:rsidRDefault="00514D68">
      <w:pPr>
        <w:numPr>
          <w:ilvl w:val="0"/>
          <w:numId w:val="7"/>
        </w:numPr>
        <w:ind w:hanging="360"/>
      </w:pPr>
      <w:r>
        <w:t>15 dana za izradu troškovnika od ishođenja građevinske dozvole</w:t>
      </w:r>
      <w:r>
        <w:rPr>
          <w:b/>
        </w:rPr>
        <w:t xml:space="preserve"> </w:t>
      </w:r>
    </w:p>
    <w:p w14:paraId="6EDC336A" w14:textId="77777777" w:rsidR="00945AEF" w:rsidRDefault="00514D68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10AD5EB3" w14:textId="77777777" w:rsidR="00945AEF" w:rsidRDefault="00514D68">
      <w:pPr>
        <w:pStyle w:val="Naslov1"/>
        <w:ind w:left="-5"/>
      </w:pPr>
      <w:r>
        <w:t xml:space="preserve">DOSTAVA DOKUMENTACIJE </w:t>
      </w:r>
    </w:p>
    <w:p w14:paraId="6616AFCC" w14:textId="77777777" w:rsidR="00945AEF" w:rsidRDefault="00514D68">
      <w:pPr>
        <w:ind w:left="-15" w:firstLine="708"/>
      </w:pPr>
      <w:r>
        <w:t xml:space="preserve">Naručitelju </w:t>
      </w:r>
      <w:r>
        <w:t xml:space="preserve">dostaviti dokumentaciju </w:t>
      </w:r>
      <w:r>
        <w:t>u tiskanom i elektroničkom obliku</w:t>
      </w:r>
      <w:r>
        <w:t xml:space="preserve">: </w:t>
      </w:r>
      <w:r>
        <w:t xml:space="preserve">Idejno rješenja  </w:t>
      </w:r>
      <w:r>
        <w:t xml:space="preserve">u 2 (dva) primjerka, Glavni projekt </w:t>
      </w:r>
      <w:r>
        <w:t xml:space="preserve">i troškovnik </w:t>
      </w:r>
      <w:r>
        <w:t>u 4 (</w:t>
      </w:r>
      <w:r>
        <w:t>četiri</w:t>
      </w:r>
      <w:r>
        <w:t xml:space="preserve">) primjerka, te u CAD-u ili drugom </w:t>
      </w:r>
      <w:r>
        <w:t xml:space="preserve">programskom paketu kompatibilnom s </w:t>
      </w:r>
      <w:proofErr w:type="spellStart"/>
      <w:r>
        <w:t>dwg</w:t>
      </w:r>
      <w:proofErr w:type="spellEnd"/>
      <w:r>
        <w:t xml:space="preserve"> formatom s napomenom da troškovnik u elektroničkom obliku mora biti dostavljen u jednom listu radne knjige (</w:t>
      </w:r>
      <w:proofErr w:type="spellStart"/>
      <w:r>
        <w:t>sheet</w:t>
      </w:r>
      <w:proofErr w:type="spellEnd"/>
      <w:r>
        <w:t xml:space="preserve">-u). </w:t>
      </w:r>
    </w:p>
    <w:p w14:paraId="0F631CD9" w14:textId="77777777" w:rsidR="00945AEF" w:rsidRDefault="00514D68">
      <w:pPr>
        <w:spacing w:after="0" w:line="259" w:lineRule="auto"/>
        <w:ind w:left="708" w:firstLine="0"/>
        <w:jc w:val="left"/>
      </w:pPr>
      <w:r>
        <w:t xml:space="preserve"> </w:t>
      </w:r>
    </w:p>
    <w:p w14:paraId="68566E59" w14:textId="77777777" w:rsidR="00945AEF" w:rsidRDefault="00514D68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6519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2007"/>
      </w:tblGrid>
      <w:tr w:rsidR="00945AEF" w14:paraId="22C8B7A4" w14:textId="77777777">
        <w:trPr>
          <w:trHeight w:val="802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56D42B0A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Osijek, lipanj 2026. 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4840F41" w14:textId="77777777" w:rsidR="00945AEF" w:rsidRDefault="00514D68">
            <w:pPr>
              <w:spacing w:after="254" w:line="259" w:lineRule="auto"/>
              <w:ind w:left="0" w:firstLine="0"/>
            </w:pPr>
            <w:r>
              <w:t>Investitor/Naručitelj</w:t>
            </w:r>
            <w:r>
              <w:t xml:space="preserve"> </w:t>
            </w:r>
          </w:p>
          <w:p w14:paraId="7949E450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      Grad Osijek </w:t>
            </w:r>
          </w:p>
        </w:tc>
      </w:tr>
      <w:tr w:rsidR="00945AEF" w14:paraId="18F5B67A" w14:textId="77777777">
        <w:trPr>
          <w:trHeight w:val="247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939DBAF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0BAD7888" w14:textId="77777777" w:rsidR="00945AEF" w:rsidRDefault="00514D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5661B39" w14:textId="77777777" w:rsidR="00945AEF" w:rsidRDefault="00514D68">
      <w:pPr>
        <w:spacing w:after="0" w:line="259" w:lineRule="auto"/>
        <w:ind w:left="0" w:firstLine="0"/>
        <w:jc w:val="left"/>
      </w:pPr>
      <w:r>
        <w:t xml:space="preserve"> </w:t>
      </w:r>
    </w:p>
    <w:sectPr w:rsidR="00945AEF">
      <w:footerReference w:type="even" r:id="rId10"/>
      <w:footerReference w:type="default" r:id="rId11"/>
      <w:footerReference w:type="first" r:id="rId12"/>
      <w:pgSz w:w="11906" w:h="16838"/>
      <w:pgMar w:top="1190" w:right="1414" w:bottom="1314" w:left="1419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A352" w14:textId="77777777" w:rsidR="00514D68" w:rsidRDefault="00514D68">
      <w:pPr>
        <w:spacing w:after="0" w:line="240" w:lineRule="auto"/>
      </w:pPr>
      <w:r>
        <w:separator/>
      </w:r>
    </w:p>
  </w:endnote>
  <w:endnote w:type="continuationSeparator" w:id="0">
    <w:p w14:paraId="5D9DB7EE" w14:textId="77777777" w:rsidR="00514D68" w:rsidRDefault="0051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8D85" w14:textId="77777777" w:rsidR="00945AEF" w:rsidRDefault="00514D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AFED9A" w14:textId="77777777" w:rsidR="00945AEF" w:rsidRDefault="00514D6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07D1" w14:textId="77777777" w:rsidR="00945AEF" w:rsidRDefault="00514D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6AEBC76" w14:textId="77777777" w:rsidR="00945AEF" w:rsidRDefault="00514D6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3075" w14:textId="77777777" w:rsidR="00945AEF" w:rsidRDefault="00514D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93BCD6" w14:textId="77777777" w:rsidR="00945AEF" w:rsidRDefault="00514D68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6B80" w14:textId="77777777" w:rsidR="00514D68" w:rsidRDefault="00514D68">
      <w:pPr>
        <w:spacing w:after="0" w:line="240" w:lineRule="auto"/>
      </w:pPr>
      <w:r>
        <w:separator/>
      </w:r>
    </w:p>
  </w:footnote>
  <w:footnote w:type="continuationSeparator" w:id="0">
    <w:p w14:paraId="1528566E" w14:textId="77777777" w:rsidR="00514D68" w:rsidRDefault="00514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FDD"/>
    <w:multiLevelType w:val="hybridMultilevel"/>
    <w:tmpl w:val="FE940DD0"/>
    <w:lvl w:ilvl="0" w:tplc="4932921E">
      <w:start w:val="1"/>
      <w:numFmt w:val="bullet"/>
      <w:lvlText w:val="-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C841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047B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A198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6DF9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51B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0F09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0392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0932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F32B3"/>
    <w:multiLevelType w:val="hybridMultilevel"/>
    <w:tmpl w:val="87621E88"/>
    <w:lvl w:ilvl="0" w:tplc="8E52662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CF6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E2F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AC4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4D0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076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2E1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CF6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87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019E4"/>
    <w:multiLevelType w:val="hybridMultilevel"/>
    <w:tmpl w:val="0414D436"/>
    <w:lvl w:ilvl="0" w:tplc="A1F4BC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217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24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222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24A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475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E4D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0F8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4E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90254C"/>
    <w:multiLevelType w:val="hybridMultilevel"/>
    <w:tmpl w:val="41249340"/>
    <w:lvl w:ilvl="0" w:tplc="8ACAF3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2CF8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2FCC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81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035A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E66F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E762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C210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4C306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61E21"/>
    <w:multiLevelType w:val="hybridMultilevel"/>
    <w:tmpl w:val="2F26164A"/>
    <w:lvl w:ilvl="0" w:tplc="857C80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0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428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E64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299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4F8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A5C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ACF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C02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0171F"/>
    <w:multiLevelType w:val="hybridMultilevel"/>
    <w:tmpl w:val="7B9A37D6"/>
    <w:lvl w:ilvl="0" w:tplc="73C4877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E14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6FC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4E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CC1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4B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E2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88F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8BE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678C7"/>
    <w:multiLevelType w:val="hybridMultilevel"/>
    <w:tmpl w:val="7B90ACC2"/>
    <w:lvl w:ilvl="0" w:tplc="39C808F8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04148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2B026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81B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8A252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EB7E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68AC4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ABAB2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C25C2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236132">
    <w:abstractNumId w:val="3"/>
  </w:num>
  <w:num w:numId="2" w16cid:durableId="746000964">
    <w:abstractNumId w:val="1"/>
  </w:num>
  <w:num w:numId="3" w16cid:durableId="589972419">
    <w:abstractNumId w:val="2"/>
  </w:num>
  <w:num w:numId="4" w16cid:durableId="1286427280">
    <w:abstractNumId w:val="6"/>
  </w:num>
  <w:num w:numId="5" w16cid:durableId="1681200864">
    <w:abstractNumId w:val="0"/>
  </w:num>
  <w:num w:numId="6" w16cid:durableId="545487585">
    <w:abstractNumId w:val="5"/>
  </w:num>
  <w:num w:numId="7" w16cid:durableId="218516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EF"/>
    <w:rsid w:val="00514D68"/>
    <w:rsid w:val="00945AEF"/>
    <w:rsid w:val="00E50170"/>
    <w:rsid w:val="00F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DB6"/>
  <w15:docId w15:val="{07E32B62-717E-49B2-80DB-D1F3BBAB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jek.hr/" TargetMode="Externa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ijek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B1CD517-2432-4372-A21A-69E7C368822A}"/>
</file>

<file path=customXml/itemProps2.xml><?xml version="1.0" encoding="utf-8"?>
<ds:datastoreItem xmlns:ds="http://schemas.openxmlformats.org/officeDocument/2006/customXml" ds:itemID="{25914B71-7520-4356-ACE8-C2492A81AD7B}"/>
</file>

<file path=customXml/itemProps3.xml><?xml version="1.0" encoding="utf-8"?>
<ds:datastoreItem xmlns:ds="http://schemas.openxmlformats.org/officeDocument/2006/customXml" ds:itemID="{776888C5-4225-4515-A94B-E01D90D9EA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2223</Words>
  <Characters>12674</Characters>
  <Application>Microsoft Office Word</Application>
  <DocSecurity>0</DocSecurity>
  <Lines>105</Lines>
  <Paragraphs>29</Paragraphs>
  <ScaleCrop>false</ScaleCrop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Čulin</dc:creator>
  <cp:keywords/>
  <cp:lastModifiedBy>Zvonimir Lončarić</cp:lastModifiedBy>
  <cp:revision>2</cp:revision>
  <dcterms:created xsi:type="dcterms:W3CDTF">2026-07-02T10:29:00Z</dcterms:created>
  <dcterms:modified xsi:type="dcterms:W3CDTF">2026-07-02T10:29:00Z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