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3E20DF" w14:paraId="0396482A" w14:textId="77777777">
        <w:trPr>
          <w:tblCellSpacing w:w="60" w:type="dxa"/>
        </w:trPr>
        <w:tc>
          <w:tcPr>
            <w:tcW w:w="1200" w:type="pct"/>
            <w:shd w:val="clear" w:color="auto" w:fill="E7F0F9"/>
          </w:tcPr>
          <w:p w14:paraId="464DA9CB" w14:textId="77777777" w:rsidR="003E20DF" w:rsidRDefault="00F01A5C">
            <w:pPr>
              <w:spacing w:after="0" w:line="240" w:lineRule="auto"/>
            </w:pPr>
            <w:r>
              <w:rPr>
                <w:b/>
              </w:rPr>
              <w:t>RKP broj</w:t>
            </w:r>
          </w:p>
        </w:tc>
        <w:tc>
          <w:tcPr>
            <w:tcW w:w="0" w:type="auto"/>
            <w:shd w:val="clear" w:color="auto" w:fill="E7F0F9"/>
          </w:tcPr>
          <w:p w14:paraId="2C779B87" w14:textId="77777777" w:rsidR="003E20DF" w:rsidRDefault="00F01A5C">
            <w:pPr>
              <w:spacing w:after="0" w:line="240" w:lineRule="auto"/>
            </w:pPr>
            <w:r>
              <w:t>36186</w:t>
            </w:r>
          </w:p>
        </w:tc>
      </w:tr>
      <w:tr w:rsidR="003E20DF" w14:paraId="0D1FD3FE" w14:textId="77777777">
        <w:trPr>
          <w:tblCellSpacing w:w="60" w:type="dxa"/>
        </w:trPr>
        <w:tc>
          <w:tcPr>
            <w:tcW w:w="1200" w:type="pct"/>
            <w:shd w:val="clear" w:color="auto" w:fill="E7F0F9"/>
          </w:tcPr>
          <w:p w14:paraId="375B16A0" w14:textId="77777777" w:rsidR="003E20DF" w:rsidRDefault="00F01A5C">
            <w:pPr>
              <w:spacing w:after="0" w:line="240" w:lineRule="auto"/>
            </w:pPr>
            <w:r>
              <w:rPr>
                <w:b/>
              </w:rPr>
              <w:t>Naziv obveznika</w:t>
            </w:r>
          </w:p>
        </w:tc>
        <w:tc>
          <w:tcPr>
            <w:tcW w:w="0" w:type="auto"/>
            <w:shd w:val="clear" w:color="auto" w:fill="E7F0F9"/>
          </w:tcPr>
          <w:p w14:paraId="3C7FC7C6" w14:textId="77777777" w:rsidR="003E20DF" w:rsidRDefault="00F01A5C">
            <w:pPr>
              <w:spacing w:after="0" w:line="240" w:lineRule="auto"/>
            </w:pPr>
            <w:r>
              <w:t>GRAD OSIJEK</w:t>
            </w:r>
          </w:p>
        </w:tc>
      </w:tr>
      <w:tr w:rsidR="003E20DF" w14:paraId="4F16B02B" w14:textId="77777777">
        <w:trPr>
          <w:tblCellSpacing w:w="60" w:type="dxa"/>
        </w:trPr>
        <w:tc>
          <w:tcPr>
            <w:tcW w:w="1200" w:type="pct"/>
            <w:shd w:val="clear" w:color="auto" w:fill="E7F0F9"/>
          </w:tcPr>
          <w:p w14:paraId="191481AE" w14:textId="77777777" w:rsidR="003E20DF" w:rsidRDefault="00F01A5C">
            <w:pPr>
              <w:spacing w:after="0" w:line="240" w:lineRule="auto"/>
            </w:pPr>
            <w:r>
              <w:rPr>
                <w:b/>
              </w:rPr>
              <w:t>Razina</w:t>
            </w:r>
          </w:p>
        </w:tc>
        <w:tc>
          <w:tcPr>
            <w:tcW w:w="0" w:type="auto"/>
            <w:shd w:val="clear" w:color="auto" w:fill="E7F0F9"/>
          </w:tcPr>
          <w:p w14:paraId="42BFB1D9" w14:textId="77777777" w:rsidR="003E20DF" w:rsidRDefault="00F01A5C">
            <w:pPr>
              <w:spacing w:after="0" w:line="240" w:lineRule="auto"/>
            </w:pPr>
            <w:r>
              <w:t>22</w:t>
            </w:r>
          </w:p>
        </w:tc>
      </w:tr>
    </w:tbl>
    <w:p w14:paraId="34712F66" w14:textId="77777777" w:rsidR="003E20DF" w:rsidRDefault="00F01A5C">
      <w:r>
        <w:br/>
      </w:r>
    </w:p>
    <w:p w14:paraId="7534245C" w14:textId="77777777" w:rsidR="003E20DF" w:rsidRDefault="00F01A5C">
      <w:pPr>
        <w:spacing w:line="240" w:lineRule="auto"/>
        <w:jc w:val="center"/>
      </w:pPr>
      <w:r>
        <w:rPr>
          <w:b/>
          <w:sz w:val="28"/>
        </w:rPr>
        <w:t>BILJEŠKE UZ FINANCIJSKE IZVJEŠTAJE</w:t>
      </w:r>
    </w:p>
    <w:p w14:paraId="6C63C220" w14:textId="77777777" w:rsidR="003E20DF" w:rsidRDefault="00F01A5C">
      <w:pPr>
        <w:spacing w:line="240" w:lineRule="auto"/>
        <w:jc w:val="center"/>
      </w:pPr>
      <w:r>
        <w:rPr>
          <w:b/>
          <w:sz w:val="28"/>
        </w:rPr>
        <w:t>ZA RAZDOBLJE</w:t>
      </w:r>
    </w:p>
    <w:p w14:paraId="4A1B2442" w14:textId="77777777" w:rsidR="003E20DF" w:rsidRDefault="00F01A5C">
      <w:pPr>
        <w:spacing w:line="240" w:lineRule="auto"/>
        <w:jc w:val="center"/>
      </w:pPr>
      <w:r>
        <w:rPr>
          <w:b/>
          <w:sz w:val="28"/>
        </w:rPr>
        <w:t>I - XII 2025.</w:t>
      </w:r>
    </w:p>
    <w:p w14:paraId="0E4AE1B4" w14:textId="77777777" w:rsidR="003E20DF" w:rsidRDefault="003E20DF"/>
    <w:p w14:paraId="69C1752E" w14:textId="77777777" w:rsidR="003E20DF" w:rsidRDefault="00F01A5C">
      <w:pPr>
        <w:keepNext/>
        <w:spacing w:line="240" w:lineRule="auto"/>
        <w:jc w:val="center"/>
      </w:pPr>
      <w:r>
        <w:rPr>
          <w:b/>
          <w:sz w:val="28"/>
        </w:rPr>
        <w:t>Izvještaj o prihodima i rashodima, primicima i izdacima</w:t>
      </w:r>
    </w:p>
    <w:p w14:paraId="3DB947CB" w14:textId="77777777" w:rsidR="003E20DF" w:rsidRDefault="00F01A5C">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20DF" w14:paraId="30FB3484" w14:textId="77777777">
        <w:trPr>
          <w:cantSplit/>
        </w:trPr>
        <w:tc>
          <w:tcPr>
            <w:tcW w:w="700" w:type="dxa"/>
            <w:shd w:val="clear" w:color="auto" w:fill="E7F0F9"/>
            <w:tcMar>
              <w:top w:w="0" w:type="dxa"/>
              <w:bottom w:w="0" w:type="dxa"/>
            </w:tcMar>
            <w:vAlign w:val="center"/>
          </w:tcPr>
          <w:p w14:paraId="080407AC" w14:textId="77777777" w:rsidR="003E20DF" w:rsidRDefault="00F01A5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DA70B8E" w14:textId="77777777" w:rsidR="003E20DF" w:rsidRDefault="00F01A5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C7317A9" w14:textId="77777777" w:rsidR="003E20DF" w:rsidRDefault="00F01A5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65F7666" w14:textId="77777777" w:rsidR="003E20DF" w:rsidRDefault="00F01A5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74E1640" w14:textId="77777777" w:rsidR="003E20DF" w:rsidRDefault="00F01A5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9B85E01" w14:textId="77777777" w:rsidR="003E20DF" w:rsidRDefault="00F01A5C">
            <w:pPr>
              <w:keepNext/>
              <w:keepLines/>
              <w:spacing w:after="0" w:line="240" w:lineRule="auto"/>
              <w:jc w:val="center"/>
            </w:pPr>
            <w:r>
              <w:rPr>
                <w:b/>
                <w:sz w:val="18"/>
              </w:rPr>
              <w:t>Indeks (%)</w:t>
            </w:r>
          </w:p>
        </w:tc>
      </w:tr>
      <w:tr w:rsidR="003E20DF" w14:paraId="2C452991" w14:textId="77777777">
        <w:trPr>
          <w:cantSplit/>
          <w:trHeight w:val="560"/>
        </w:trPr>
        <w:tc>
          <w:tcPr>
            <w:tcW w:w="700" w:type="dxa"/>
            <w:tcMar>
              <w:top w:w="0" w:type="dxa"/>
              <w:bottom w:w="0" w:type="dxa"/>
            </w:tcMar>
            <w:vAlign w:val="center"/>
          </w:tcPr>
          <w:p w14:paraId="301A7203" w14:textId="77777777" w:rsidR="003E20DF" w:rsidRDefault="00F01A5C">
            <w:pPr>
              <w:keepNext/>
              <w:keepLines/>
              <w:spacing w:after="0" w:line="240" w:lineRule="auto"/>
            </w:pPr>
            <w:r>
              <w:rPr>
                <w:sz w:val="18"/>
              </w:rPr>
              <w:t>6</w:t>
            </w:r>
          </w:p>
        </w:tc>
        <w:tc>
          <w:tcPr>
            <w:tcW w:w="3180" w:type="dxa"/>
            <w:tcMar>
              <w:top w:w="0" w:type="dxa"/>
              <w:bottom w:w="0" w:type="dxa"/>
            </w:tcMar>
            <w:vAlign w:val="center"/>
          </w:tcPr>
          <w:p w14:paraId="0194B090" w14:textId="77777777" w:rsidR="003E20DF" w:rsidRDefault="00F01A5C">
            <w:pPr>
              <w:keepNext/>
              <w:keepLines/>
              <w:spacing w:after="0" w:line="240" w:lineRule="auto"/>
            </w:pPr>
            <w:r>
              <w:rPr>
                <w:sz w:val="18"/>
              </w:rPr>
              <w:t>PRIHODI POSLOVANJA (šifre 61+62+63+64+65+66+67+68)</w:t>
            </w:r>
          </w:p>
        </w:tc>
        <w:tc>
          <w:tcPr>
            <w:tcW w:w="700" w:type="dxa"/>
            <w:tcMar>
              <w:top w:w="0" w:type="dxa"/>
              <w:bottom w:w="0" w:type="dxa"/>
            </w:tcMar>
            <w:vAlign w:val="center"/>
          </w:tcPr>
          <w:p w14:paraId="40464520" w14:textId="77777777" w:rsidR="003E20DF" w:rsidRDefault="00F01A5C">
            <w:pPr>
              <w:keepNext/>
              <w:keepLines/>
              <w:spacing w:after="0" w:line="240" w:lineRule="auto"/>
            </w:pPr>
            <w:r>
              <w:rPr>
                <w:sz w:val="18"/>
              </w:rPr>
              <w:t>6</w:t>
            </w:r>
          </w:p>
        </w:tc>
        <w:tc>
          <w:tcPr>
            <w:tcW w:w="1860" w:type="dxa"/>
            <w:tcMar>
              <w:top w:w="0" w:type="dxa"/>
              <w:bottom w:w="0" w:type="dxa"/>
            </w:tcMar>
            <w:vAlign w:val="center"/>
          </w:tcPr>
          <w:p w14:paraId="62D6BB09" w14:textId="77777777" w:rsidR="003E20DF" w:rsidRDefault="00F01A5C">
            <w:pPr>
              <w:keepNext/>
              <w:keepLines/>
              <w:spacing w:after="0" w:line="240" w:lineRule="auto"/>
              <w:jc w:val="right"/>
            </w:pPr>
            <w:r>
              <w:rPr>
                <w:sz w:val="18"/>
              </w:rPr>
              <w:t>93.001.968,91</w:t>
            </w:r>
          </w:p>
        </w:tc>
        <w:tc>
          <w:tcPr>
            <w:tcW w:w="1860" w:type="dxa"/>
            <w:tcMar>
              <w:top w:w="0" w:type="dxa"/>
              <w:bottom w:w="0" w:type="dxa"/>
            </w:tcMar>
            <w:vAlign w:val="center"/>
          </w:tcPr>
          <w:p w14:paraId="62D2287A" w14:textId="77777777" w:rsidR="003E20DF" w:rsidRDefault="00F01A5C">
            <w:pPr>
              <w:keepNext/>
              <w:keepLines/>
              <w:spacing w:after="0" w:line="240" w:lineRule="auto"/>
              <w:jc w:val="right"/>
            </w:pPr>
            <w:r>
              <w:rPr>
                <w:sz w:val="18"/>
              </w:rPr>
              <w:t>105.829.084,99</w:t>
            </w:r>
          </w:p>
        </w:tc>
        <w:tc>
          <w:tcPr>
            <w:tcW w:w="700" w:type="dxa"/>
            <w:tcMar>
              <w:top w:w="0" w:type="dxa"/>
              <w:bottom w:w="0" w:type="dxa"/>
            </w:tcMar>
            <w:vAlign w:val="center"/>
          </w:tcPr>
          <w:p w14:paraId="3367B2DA" w14:textId="77777777" w:rsidR="003E20DF" w:rsidRDefault="00F01A5C">
            <w:pPr>
              <w:keepNext/>
              <w:keepLines/>
              <w:spacing w:after="0" w:line="240" w:lineRule="auto"/>
              <w:jc w:val="right"/>
            </w:pPr>
            <w:r>
              <w:rPr>
                <w:sz w:val="18"/>
              </w:rPr>
              <w:t>113,8</w:t>
            </w:r>
          </w:p>
        </w:tc>
      </w:tr>
      <w:tr w:rsidR="003E20DF" w14:paraId="54BE1AB9" w14:textId="77777777">
        <w:trPr>
          <w:cantSplit/>
          <w:trHeight w:val="560"/>
        </w:trPr>
        <w:tc>
          <w:tcPr>
            <w:tcW w:w="700" w:type="dxa"/>
            <w:tcMar>
              <w:top w:w="0" w:type="dxa"/>
              <w:bottom w:w="0" w:type="dxa"/>
            </w:tcMar>
            <w:vAlign w:val="center"/>
          </w:tcPr>
          <w:p w14:paraId="74586761" w14:textId="77777777" w:rsidR="003E20DF" w:rsidRDefault="00F01A5C">
            <w:pPr>
              <w:keepNext/>
              <w:keepLines/>
              <w:spacing w:after="0" w:line="240" w:lineRule="auto"/>
            </w:pPr>
            <w:r>
              <w:rPr>
                <w:sz w:val="18"/>
              </w:rPr>
              <w:t>3</w:t>
            </w:r>
          </w:p>
        </w:tc>
        <w:tc>
          <w:tcPr>
            <w:tcW w:w="3180" w:type="dxa"/>
            <w:tcMar>
              <w:top w:w="0" w:type="dxa"/>
              <w:bottom w:w="0" w:type="dxa"/>
            </w:tcMar>
            <w:vAlign w:val="center"/>
          </w:tcPr>
          <w:p w14:paraId="7E82EDEB" w14:textId="77777777" w:rsidR="003E20DF" w:rsidRDefault="00F01A5C">
            <w:pPr>
              <w:keepNext/>
              <w:keepLines/>
              <w:spacing w:after="0" w:line="240" w:lineRule="auto"/>
            </w:pPr>
            <w:r>
              <w:rPr>
                <w:sz w:val="18"/>
              </w:rPr>
              <w:t>RASHODI POSLOVANJA (šifre 31+32+34+35+36+37+38)</w:t>
            </w:r>
          </w:p>
        </w:tc>
        <w:tc>
          <w:tcPr>
            <w:tcW w:w="700" w:type="dxa"/>
            <w:tcMar>
              <w:top w:w="0" w:type="dxa"/>
              <w:bottom w:w="0" w:type="dxa"/>
            </w:tcMar>
            <w:vAlign w:val="center"/>
          </w:tcPr>
          <w:p w14:paraId="7FEE4FF8" w14:textId="77777777" w:rsidR="003E20DF" w:rsidRDefault="00F01A5C">
            <w:pPr>
              <w:keepNext/>
              <w:keepLines/>
              <w:spacing w:after="0" w:line="240" w:lineRule="auto"/>
            </w:pPr>
            <w:r>
              <w:rPr>
                <w:sz w:val="18"/>
              </w:rPr>
              <w:t>3</w:t>
            </w:r>
          </w:p>
        </w:tc>
        <w:tc>
          <w:tcPr>
            <w:tcW w:w="1860" w:type="dxa"/>
            <w:tcMar>
              <w:top w:w="0" w:type="dxa"/>
              <w:bottom w:w="0" w:type="dxa"/>
            </w:tcMar>
            <w:vAlign w:val="center"/>
          </w:tcPr>
          <w:p w14:paraId="747EEA2E" w14:textId="77777777" w:rsidR="003E20DF" w:rsidRDefault="00F01A5C">
            <w:pPr>
              <w:keepNext/>
              <w:keepLines/>
              <w:spacing w:after="0" w:line="240" w:lineRule="auto"/>
              <w:jc w:val="right"/>
            </w:pPr>
            <w:r>
              <w:rPr>
                <w:sz w:val="18"/>
              </w:rPr>
              <w:t>78.740.139,84</w:t>
            </w:r>
          </w:p>
        </w:tc>
        <w:tc>
          <w:tcPr>
            <w:tcW w:w="1860" w:type="dxa"/>
            <w:tcMar>
              <w:top w:w="0" w:type="dxa"/>
              <w:bottom w:w="0" w:type="dxa"/>
            </w:tcMar>
            <w:vAlign w:val="center"/>
          </w:tcPr>
          <w:p w14:paraId="43EAE81D" w14:textId="77777777" w:rsidR="003E20DF" w:rsidRDefault="00F01A5C">
            <w:pPr>
              <w:keepNext/>
              <w:keepLines/>
              <w:spacing w:after="0" w:line="240" w:lineRule="auto"/>
              <w:jc w:val="right"/>
            </w:pPr>
            <w:r>
              <w:rPr>
                <w:sz w:val="18"/>
              </w:rPr>
              <w:t>92.414.628,36</w:t>
            </w:r>
          </w:p>
        </w:tc>
        <w:tc>
          <w:tcPr>
            <w:tcW w:w="700" w:type="dxa"/>
            <w:tcMar>
              <w:top w:w="0" w:type="dxa"/>
              <w:bottom w:w="0" w:type="dxa"/>
            </w:tcMar>
            <w:vAlign w:val="center"/>
          </w:tcPr>
          <w:p w14:paraId="25D76EB0" w14:textId="77777777" w:rsidR="003E20DF" w:rsidRDefault="00F01A5C">
            <w:pPr>
              <w:keepNext/>
              <w:keepLines/>
              <w:spacing w:after="0" w:line="240" w:lineRule="auto"/>
              <w:jc w:val="right"/>
            </w:pPr>
            <w:r>
              <w:rPr>
                <w:sz w:val="18"/>
              </w:rPr>
              <w:t>117,4</w:t>
            </w:r>
          </w:p>
        </w:tc>
      </w:tr>
      <w:tr w:rsidR="003E20DF" w14:paraId="5C93B256" w14:textId="77777777">
        <w:trPr>
          <w:cantSplit/>
          <w:trHeight w:val="560"/>
        </w:trPr>
        <w:tc>
          <w:tcPr>
            <w:tcW w:w="700" w:type="dxa"/>
            <w:tcMar>
              <w:top w:w="0" w:type="dxa"/>
              <w:bottom w:w="0" w:type="dxa"/>
            </w:tcMar>
            <w:vAlign w:val="center"/>
          </w:tcPr>
          <w:p w14:paraId="1C13FB4F" w14:textId="77777777" w:rsidR="003E20DF" w:rsidRDefault="003E20DF">
            <w:pPr>
              <w:keepNext/>
              <w:keepLines/>
              <w:spacing w:after="0" w:line="240" w:lineRule="auto"/>
            </w:pPr>
          </w:p>
        </w:tc>
        <w:tc>
          <w:tcPr>
            <w:tcW w:w="3180" w:type="dxa"/>
            <w:tcMar>
              <w:top w:w="0" w:type="dxa"/>
              <w:bottom w:w="0" w:type="dxa"/>
            </w:tcMar>
            <w:vAlign w:val="center"/>
          </w:tcPr>
          <w:p w14:paraId="459CBFD8" w14:textId="77777777" w:rsidR="003E20DF" w:rsidRDefault="00F01A5C">
            <w:pPr>
              <w:keepNext/>
              <w:keepLines/>
              <w:spacing w:after="0" w:line="240" w:lineRule="auto"/>
            </w:pPr>
            <w:r>
              <w:rPr>
                <w:b/>
                <w:sz w:val="18"/>
              </w:rPr>
              <w:t>VIŠAK PRIHODA POSLOVANJA (šifre 6-Z005)</w:t>
            </w:r>
          </w:p>
        </w:tc>
        <w:tc>
          <w:tcPr>
            <w:tcW w:w="700" w:type="dxa"/>
            <w:tcMar>
              <w:top w:w="0" w:type="dxa"/>
              <w:bottom w:w="0" w:type="dxa"/>
            </w:tcMar>
            <w:vAlign w:val="center"/>
          </w:tcPr>
          <w:p w14:paraId="29789983" w14:textId="77777777" w:rsidR="003E20DF" w:rsidRDefault="00F01A5C">
            <w:pPr>
              <w:keepNext/>
              <w:keepLines/>
              <w:spacing w:after="0" w:line="240" w:lineRule="auto"/>
            </w:pPr>
            <w:r>
              <w:rPr>
                <w:b/>
                <w:sz w:val="18"/>
              </w:rPr>
              <w:t>X001</w:t>
            </w:r>
          </w:p>
        </w:tc>
        <w:tc>
          <w:tcPr>
            <w:tcW w:w="1860" w:type="dxa"/>
            <w:tcMar>
              <w:top w:w="0" w:type="dxa"/>
              <w:bottom w:w="0" w:type="dxa"/>
            </w:tcMar>
            <w:vAlign w:val="center"/>
          </w:tcPr>
          <w:p w14:paraId="12A5FA7A" w14:textId="77777777" w:rsidR="003E20DF" w:rsidRDefault="00F01A5C">
            <w:pPr>
              <w:keepNext/>
              <w:keepLines/>
              <w:spacing w:after="0" w:line="240" w:lineRule="auto"/>
              <w:jc w:val="right"/>
            </w:pPr>
            <w:r>
              <w:rPr>
                <w:b/>
                <w:sz w:val="18"/>
              </w:rPr>
              <w:t>14.261.829,07</w:t>
            </w:r>
          </w:p>
        </w:tc>
        <w:tc>
          <w:tcPr>
            <w:tcW w:w="1860" w:type="dxa"/>
            <w:tcMar>
              <w:top w:w="0" w:type="dxa"/>
              <w:bottom w:w="0" w:type="dxa"/>
            </w:tcMar>
            <w:vAlign w:val="center"/>
          </w:tcPr>
          <w:p w14:paraId="0486E387" w14:textId="77777777" w:rsidR="003E20DF" w:rsidRDefault="00F01A5C">
            <w:pPr>
              <w:keepNext/>
              <w:keepLines/>
              <w:spacing w:after="0" w:line="240" w:lineRule="auto"/>
              <w:jc w:val="right"/>
            </w:pPr>
            <w:r>
              <w:rPr>
                <w:b/>
                <w:sz w:val="18"/>
              </w:rPr>
              <w:t>13.414.456,63</w:t>
            </w:r>
          </w:p>
        </w:tc>
        <w:tc>
          <w:tcPr>
            <w:tcW w:w="700" w:type="dxa"/>
            <w:tcMar>
              <w:top w:w="0" w:type="dxa"/>
              <w:bottom w:w="0" w:type="dxa"/>
            </w:tcMar>
            <w:vAlign w:val="center"/>
          </w:tcPr>
          <w:p w14:paraId="45D37747" w14:textId="77777777" w:rsidR="003E20DF" w:rsidRDefault="00F01A5C">
            <w:pPr>
              <w:keepNext/>
              <w:keepLines/>
              <w:spacing w:after="0" w:line="240" w:lineRule="auto"/>
              <w:jc w:val="right"/>
            </w:pPr>
            <w:r>
              <w:rPr>
                <w:b/>
                <w:sz w:val="18"/>
              </w:rPr>
              <w:t>94,1</w:t>
            </w:r>
          </w:p>
        </w:tc>
      </w:tr>
      <w:tr w:rsidR="003E20DF" w14:paraId="29E3933B" w14:textId="77777777">
        <w:trPr>
          <w:cantSplit/>
          <w:trHeight w:val="560"/>
        </w:trPr>
        <w:tc>
          <w:tcPr>
            <w:tcW w:w="700" w:type="dxa"/>
            <w:tcMar>
              <w:top w:w="0" w:type="dxa"/>
              <w:bottom w:w="0" w:type="dxa"/>
            </w:tcMar>
            <w:vAlign w:val="center"/>
          </w:tcPr>
          <w:p w14:paraId="292D7B63" w14:textId="77777777" w:rsidR="003E20DF" w:rsidRDefault="00F01A5C">
            <w:pPr>
              <w:keepNext/>
              <w:keepLines/>
              <w:spacing w:after="0" w:line="240" w:lineRule="auto"/>
            </w:pPr>
            <w:r>
              <w:rPr>
                <w:sz w:val="18"/>
              </w:rPr>
              <w:t>7</w:t>
            </w:r>
          </w:p>
        </w:tc>
        <w:tc>
          <w:tcPr>
            <w:tcW w:w="3180" w:type="dxa"/>
            <w:tcMar>
              <w:top w:w="0" w:type="dxa"/>
              <w:bottom w:w="0" w:type="dxa"/>
            </w:tcMar>
            <w:vAlign w:val="center"/>
          </w:tcPr>
          <w:p w14:paraId="50E35F41" w14:textId="77777777" w:rsidR="003E20DF" w:rsidRDefault="00F01A5C">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3DCA15BB" w14:textId="77777777" w:rsidR="003E20DF" w:rsidRDefault="00F01A5C">
            <w:pPr>
              <w:keepNext/>
              <w:keepLines/>
              <w:spacing w:after="0" w:line="240" w:lineRule="auto"/>
            </w:pPr>
            <w:r>
              <w:rPr>
                <w:sz w:val="18"/>
              </w:rPr>
              <w:t>7</w:t>
            </w:r>
          </w:p>
        </w:tc>
        <w:tc>
          <w:tcPr>
            <w:tcW w:w="1860" w:type="dxa"/>
            <w:tcMar>
              <w:top w:w="0" w:type="dxa"/>
              <w:bottom w:w="0" w:type="dxa"/>
            </w:tcMar>
            <w:vAlign w:val="center"/>
          </w:tcPr>
          <w:p w14:paraId="0CB08DF7" w14:textId="77777777" w:rsidR="003E20DF" w:rsidRDefault="00F01A5C">
            <w:pPr>
              <w:keepNext/>
              <w:keepLines/>
              <w:spacing w:after="0" w:line="240" w:lineRule="auto"/>
              <w:jc w:val="right"/>
            </w:pPr>
            <w:r>
              <w:rPr>
                <w:sz w:val="18"/>
              </w:rPr>
              <w:t>3.380.796,79</w:t>
            </w:r>
          </w:p>
        </w:tc>
        <w:tc>
          <w:tcPr>
            <w:tcW w:w="1860" w:type="dxa"/>
            <w:tcMar>
              <w:top w:w="0" w:type="dxa"/>
              <w:bottom w:w="0" w:type="dxa"/>
            </w:tcMar>
            <w:vAlign w:val="center"/>
          </w:tcPr>
          <w:p w14:paraId="6C42E6D6" w14:textId="77777777" w:rsidR="003E20DF" w:rsidRDefault="00F01A5C">
            <w:pPr>
              <w:keepNext/>
              <w:keepLines/>
              <w:spacing w:after="0" w:line="240" w:lineRule="auto"/>
              <w:jc w:val="right"/>
            </w:pPr>
            <w:r>
              <w:rPr>
                <w:sz w:val="18"/>
              </w:rPr>
              <w:t>7.323.388,51</w:t>
            </w:r>
          </w:p>
        </w:tc>
        <w:tc>
          <w:tcPr>
            <w:tcW w:w="700" w:type="dxa"/>
            <w:tcMar>
              <w:top w:w="0" w:type="dxa"/>
              <w:bottom w:w="0" w:type="dxa"/>
            </w:tcMar>
            <w:vAlign w:val="center"/>
          </w:tcPr>
          <w:p w14:paraId="5D9EA317" w14:textId="77777777" w:rsidR="003E20DF" w:rsidRDefault="00F01A5C">
            <w:pPr>
              <w:keepNext/>
              <w:keepLines/>
              <w:spacing w:after="0" w:line="240" w:lineRule="auto"/>
              <w:jc w:val="right"/>
            </w:pPr>
            <w:r>
              <w:rPr>
                <w:sz w:val="18"/>
              </w:rPr>
              <w:t>216,6</w:t>
            </w:r>
          </w:p>
        </w:tc>
      </w:tr>
      <w:tr w:rsidR="003E20DF" w14:paraId="5930EC0D" w14:textId="77777777">
        <w:trPr>
          <w:cantSplit/>
          <w:trHeight w:val="560"/>
        </w:trPr>
        <w:tc>
          <w:tcPr>
            <w:tcW w:w="700" w:type="dxa"/>
            <w:tcMar>
              <w:top w:w="0" w:type="dxa"/>
              <w:bottom w:w="0" w:type="dxa"/>
            </w:tcMar>
            <w:vAlign w:val="center"/>
          </w:tcPr>
          <w:p w14:paraId="1A940B2A" w14:textId="77777777" w:rsidR="003E20DF" w:rsidRDefault="00F01A5C">
            <w:pPr>
              <w:keepNext/>
              <w:keepLines/>
              <w:spacing w:after="0" w:line="240" w:lineRule="auto"/>
            </w:pPr>
            <w:r>
              <w:rPr>
                <w:sz w:val="18"/>
              </w:rPr>
              <w:t>4</w:t>
            </w:r>
          </w:p>
        </w:tc>
        <w:tc>
          <w:tcPr>
            <w:tcW w:w="3180" w:type="dxa"/>
            <w:tcMar>
              <w:top w:w="0" w:type="dxa"/>
              <w:bottom w:w="0" w:type="dxa"/>
            </w:tcMar>
            <w:vAlign w:val="center"/>
          </w:tcPr>
          <w:p w14:paraId="3C7CFDBC" w14:textId="77777777" w:rsidR="003E20DF" w:rsidRDefault="00F01A5C">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221EE6F9" w14:textId="77777777" w:rsidR="003E20DF" w:rsidRDefault="00F01A5C">
            <w:pPr>
              <w:keepNext/>
              <w:keepLines/>
              <w:spacing w:after="0" w:line="240" w:lineRule="auto"/>
            </w:pPr>
            <w:r>
              <w:rPr>
                <w:sz w:val="18"/>
              </w:rPr>
              <w:t>4</w:t>
            </w:r>
          </w:p>
        </w:tc>
        <w:tc>
          <w:tcPr>
            <w:tcW w:w="1860" w:type="dxa"/>
            <w:tcMar>
              <w:top w:w="0" w:type="dxa"/>
              <w:bottom w:w="0" w:type="dxa"/>
            </w:tcMar>
            <w:vAlign w:val="center"/>
          </w:tcPr>
          <w:p w14:paraId="168F917C" w14:textId="77777777" w:rsidR="003E20DF" w:rsidRDefault="00F01A5C">
            <w:pPr>
              <w:keepNext/>
              <w:keepLines/>
              <w:spacing w:after="0" w:line="240" w:lineRule="auto"/>
              <w:jc w:val="right"/>
            </w:pPr>
            <w:r>
              <w:rPr>
                <w:sz w:val="18"/>
              </w:rPr>
              <w:t>16.441.248,48</w:t>
            </w:r>
          </w:p>
        </w:tc>
        <w:tc>
          <w:tcPr>
            <w:tcW w:w="1860" w:type="dxa"/>
            <w:tcMar>
              <w:top w:w="0" w:type="dxa"/>
              <w:bottom w:w="0" w:type="dxa"/>
            </w:tcMar>
            <w:vAlign w:val="center"/>
          </w:tcPr>
          <w:p w14:paraId="1CCD1046" w14:textId="77777777" w:rsidR="003E20DF" w:rsidRDefault="00F01A5C">
            <w:pPr>
              <w:keepNext/>
              <w:keepLines/>
              <w:spacing w:after="0" w:line="240" w:lineRule="auto"/>
              <w:jc w:val="right"/>
            </w:pPr>
            <w:r>
              <w:rPr>
                <w:sz w:val="18"/>
              </w:rPr>
              <w:t>25.221.854,21</w:t>
            </w:r>
          </w:p>
        </w:tc>
        <w:tc>
          <w:tcPr>
            <w:tcW w:w="700" w:type="dxa"/>
            <w:tcMar>
              <w:top w:w="0" w:type="dxa"/>
              <w:bottom w:w="0" w:type="dxa"/>
            </w:tcMar>
            <w:vAlign w:val="center"/>
          </w:tcPr>
          <w:p w14:paraId="01F61930" w14:textId="77777777" w:rsidR="003E20DF" w:rsidRDefault="00F01A5C">
            <w:pPr>
              <w:keepNext/>
              <w:keepLines/>
              <w:spacing w:after="0" w:line="240" w:lineRule="auto"/>
              <w:jc w:val="right"/>
            </w:pPr>
            <w:r>
              <w:rPr>
                <w:sz w:val="18"/>
              </w:rPr>
              <w:t>153,4</w:t>
            </w:r>
          </w:p>
        </w:tc>
      </w:tr>
      <w:tr w:rsidR="003E20DF" w14:paraId="39A892FF" w14:textId="77777777">
        <w:trPr>
          <w:cantSplit/>
          <w:trHeight w:val="560"/>
        </w:trPr>
        <w:tc>
          <w:tcPr>
            <w:tcW w:w="700" w:type="dxa"/>
            <w:tcMar>
              <w:top w:w="0" w:type="dxa"/>
              <w:bottom w:w="0" w:type="dxa"/>
            </w:tcMar>
            <w:vAlign w:val="center"/>
          </w:tcPr>
          <w:p w14:paraId="44DC8F9B" w14:textId="77777777" w:rsidR="003E20DF" w:rsidRDefault="003E20DF">
            <w:pPr>
              <w:keepNext/>
              <w:keepLines/>
              <w:spacing w:after="0" w:line="240" w:lineRule="auto"/>
            </w:pPr>
          </w:p>
        </w:tc>
        <w:tc>
          <w:tcPr>
            <w:tcW w:w="3180" w:type="dxa"/>
            <w:tcMar>
              <w:top w:w="0" w:type="dxa"/>
              <w:bottom w:w="0" w:type="dxa"/>
            </w:tcMar>
            <w:vAlign w:val="center"/>
          </w:tcPr>
          <w:p w14:paraId="5C7E18D4" w14:textId="77777777" w:rsidR="003E20DF" w:rsidRDefault="00F01A5C">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6C8B6FF4" w14:textId="77777777" w:rsidR="003E20DF" w:rsidRDefault="00F01A5C">
            <w:pPr>
              <w:keepNext/>
              <w:keepLines/>
              <w:spacing w:after="0" w:line="240" w:lineRule="auto"/>
            </w:pPr>
            <w:r>
              <w:rPr>
                <w:b/>
                <w:sz w:val="18"/>
              </w:rPr>
              <w:t>Y002</w:t>
            </w:r>
          </w:p>
        </w:tc>
        <w:tc>
          <w:tcPr>
            <w:tcW w:w="1860" w:type="dxa"/>
            <w:tcMar>
              <w:top w:w="0" w:type="dxa"/>
              <w:bottom w:w="0" w:type="dxa"/>
            </w:tcMar>
            <w:vAlign w:val="center"/>
          </w:tcPr>
          <w:p w14:paraId="3C52D5E8" w14:textId="77777777" w:rsidR="003E20DF" w:rsidRDefault="00F01A5C">
            <w:pPr>
              <w:keepNext/>
              <w:keepLines/>
              <w:spacing w:after="0" w:line="240" w:lineRule="auto"/>
              <w:jc w:val="right"/>
            </w:pPr>
            <w:r>
              <w:rPr>
                <w:b/>
                <w:sz w:val="18"/>
              </w:rPr>
              <w:t>13.060.451,69</w:t>
            </w:r>
          </w:p>
        </w:tc>
        <w:tc>
          <w:tcPr>
            <w:tcW w:w="1860" w:type="dxa"/>
            <w:tcMar>
              <w:top w:w="0" w:type="dxa"/>
              <w:bottom w:w="0" w:type="dxa"/>
            </w:tcMar>
            <w:vAlign w:val="center"/>
          </w:tcPr>
          <w:p w14:paraId="50E4FF45" w14:textId="77777777" w:rsidR="003E20DF" w:rsidRDefault="00F01A5C">
            <w:pPr>
              <w:keepNext/>
              <w:keepLines/>
              <w:spacing w:after="0" w:line="240" w:lineRule="auto"/>
              <w:jc w:val="right"/>
            </w:pPr>
            <w:r>
              <w:rPr>
                <w:b/>
                <w:sz w:val="18"/>
              </w:rPr>
              <w:t>17.898.465,70</w:t>
            </w:r>
          </w:p>
        </w:tc>
        <w:tc>
          <w:tcPr>
            <w:tcW w:w="700" w:type="dxa"/>
            <w:tcMar>
              <w:top w:w="0" w:type="dxa"/>
              <w:bottom w:w="0" w:type="dxa"/>
            </w:tcMar>
            <w:vAlign w:val="center"/>
          </w:tcPr>
          <w:p w14:paraId="7C21D9AC" w14:textId="77777777" w:rsidR="003E20DF" w:rsidRDefault="00F01A5C">
            <w:pPr>
              <w:keepNext/>
              <w:keepLines/>
              <w:spacing w:after="0" w:line="240" w:lineRule="auto"/>
              <w:jc w:val="right"/>
            </w:pPr>
            <w:r>
              <w:rPr>
                <w:b/>
                <w:sz w:val="18"/>
              </w:rPr>
              <w:t>137,0</w:t>
            </w:r>
          </w:p>
        </w:tc>
      </w:tr>
      <w:tr w:rsidR="003E20DF" w14:paraId="1CCAA7EC" w14:textId="77777777">
        <w:trPr>
          <w:cantSplit/>
          <w:trHeight w:val="560"/>
        </w:trPr>
        <w:tc>
          <w:tcPr>
            <w:tcW w:w="700" w:type="dxa"/>
            <w:tcMar>
              <w:top w:w="0" w:type="dxa"/>
              <w:bottom w:w="0" w:type="dxa"/>
            </w:tcMar>
            <w:vAlign w:val="center"/>
          </w:tcPr>
          <w:p w14:paraId="131C0FB0" w14:textId="77777777" w:rsidR="003E20DF" w:rsidRDefault="00F01A5C">
            <w:pPr>
              <w:keepNext/>
              <w:keepLines/>
              <w:spacing w:after="0" w:line="240" w:lineRule="auto"/>
            </w:pPr>
            <w:r>
              <w:rPr>
                <w:sz w:val="18"/>
              </w:rPr>
              <w:t>8</w:t>
            </w:r>
          </w:p>
        </w:tc>
        <w:tc>
          <w:tcPr>
            <w:tcW w:w="3180" w:type="dxa"/>
            <w:tcMar>
              <w:top w:w="0" w:type="dxa"/>
              <w:bottom w:w="0" w:type="dxa"/>
            </w:tcMar>
            <w:vAlign w:val="center"/>
          </w:tcPr>
          <w:p w14:paraId="36929E9E" w14:textId="77777777" w:rsidR="003E20DF" w:rsidRDefault="00F01A5C">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31DBD869" w14:textId="77777777" w:rsidR="003E20DF" w:rsidRDefault="00F01A5C">
            <w:pPr>
              <w:keepNext/>
              <w:keepLines/>
              <w:spacing w:after="0" w:line="240" w:lineRule="auto"/>
            </w:pPr>
            <w:r>
              <w:rPr>
                <w:sz w:val="18"/>
              </w:rPr>
              <w:t>8</w:t>
            </w:r>
          </w:p>
        </w:tc>
        <w:tc>
          <w:tcPr>
            <w:tcW w:w="1860" w:type="dxa"/>
            <w:tcMar>
              <w:top w:w="0" w:type="dxa"/>
              <w:bottom w:w="0" w:type="dxa"/>
            </w:tcMar>
            <w:vAlign w:val="center"/>
          </w:tcPr>
          <w:p w14:paraId="5A09F2C9" w14:textId="77777777" w:rsidR="003E20DF" w:rsidRDefault="00F01A5C">
            <w:pPr>
              <w:keepNext/>
              <w:keepLines/>
              <w:spacing w:after="0" w:line="240" w:lineRule="auto"/>
              <w:jc w:val="right"/>
            </w:pPr>
            <w:r>
              <w:rPr>
                <w:sz w:val="18"/>
              </w:rPr>
              <w:t>4.429.250,43</w:t>
            </w:r>
          </w:p>
        </w:tc>
        <w:tc>
          <w:tcPr>
            <w:tcW w:w="1860" w:type="dxa"/>
            <w:tcMar>
              <w:top w:w="0" w:type="dxa"/>
              <w:bottom w:w="0" w:type="dxa"/>
            </w:tcMar>
            <w:vAlign w:val="center"/>
          </w:tcPr>
          <w:p w14:paraId="4AB3DD2A" w14:textId="77777777" w:rsidR="003E20DF" w:rsidRDefault="00F01A5C">
            <w:pPr>
              <w:keepNext/>
              <w:keepLines/>
              <w:spacing w:after="0" w:line="240" w:lineRule="auto"/>
              <w:jc w:val="right"/>
            </w:pPr>
            <w:r>
              <w:rPr>
                <w:sz w:val="18"/>
              </w:rPr>
              <w:t>0,00</w:t>
            </w:r>
          </w:p>
        </w:tc>
        <w:tc>
          <w:tcPr>
            <w:tcW w:w="700" w:type="dxa"/>
            <w:tcMar>
              <w:top w:w="0" w:type="dxa"/>
              <w:bottom w:w="0" w:type="dxa"/>
            </w:tcMar>
            <w:vAlign w:val="center"/>
          </w:tcPr>
          <w:p w14:paraId="71386D6B" w14:textId="77777777" w:rsidR="003E20DF" w:rsidRDefault="00F01A5C">
            <w:pPr>
              <w:keepNext/>
              <w:keepLines/>
              <w:spacing w:after="0" w:line="240" w:lineRule="auto"/>
              <w:jc w:val="right"/>
            </w:pPr>
            <w:r>
              <w:rPr>
                <w:sz w:val="18"/>
              </w:rPr>
              <w:t>0</w:t>
            </w:r>
          </w:p>
        </w:tc>
      </w:tr>
      <w:tr w:rsidR="003E20DF" w14:paraId="303B1653" w14:textId="77777777">
        <w:trPr>
          <w:cantSplit/>
          <w:trHeight w:val="560"/>
        </w:trPr>
        <w:tc>
          <w:tcPr>
            <w:tcW w:w="700" w:type="dxa"/>
            <w:tcMar>
              <w:top w:w="0" w:type="dxa"/>
              <w:bottom w:w="0" w:type="dxa"/>
            </w:tcMar>
            <w:vAlign w:val="center"/>
          </w:tcPr>
          <w:p w14:paraId="2598BA90" w14:textId="77777777" w:rsidR="003E20DF" w:rsidRDefault="00F01A5C">
            <w:pPr>
              <w:keepNext/>
              <w:keepLines/>
              <w:spacing w:after="0" w:line="240" w:lineRule="auto"/>
            </w:pPr>
            <w:r>
              <w:rPr>
                <w:sz w:val="18"/>
              </w:rPr>
              <w:t>5</w:t>
            </w:r>
          </w:p>
        </w:tc>
        <w:tc>
          <w:tcPr>
            <w:tcW w:w="3180" w:type="dxa"/>
            <w:tcMar>
              <w:top w:w="0" w:type="dxa"/>
              <w:bottom w:w="0" w:type="dxa"/>
            </w:tcMar>
            <w:vAlign w:val="center"/>
          </w:tcPr>
          <w:p w14:paraId="6F39F822" w14:textId="77777777" w:rsidR="003E20DF" w:rsidRDefault="00F01A5C">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1DF117AE" w14:textId="77777777" w:rsidR="003E20DF" w:rsidRDefault="00F01A5C">
            <w:pPr>
              <w:keepNext/>
              <w:keepLines/>
              <w:spacing w:after="0" w:line="240" w:lineRule="auto"/>
            </w:pPr>
            <w:r>
              <w:rPr>
                <w:sz w:val="18"/>
              </w:rPr>
              <w:t>5</w:t>
            </w:r>
          </w:p>
        </w:tc>
        <w:tc>
          <w:tcPr>
            <w:tcW w:w="1860" w:type="dxa"/>
            <w:tcMar>
              <w:top w:w="0" w:type="dxa"/>
              <w:bottom w:w="0" w:type="dxa"/>
            </w:tcMar>
            <w:vAlign w:val="center"/>
          </w:tcPr>
          <w:p w14:paraId="45263445" w14:textId="77777777" w:rsidR="003E20DF" w:rsidRDefault="00F01A5C">
            <w:pPr>
              <w:keepNext/>
              <w:keepLines/>
              <w:spacing w:after="0" w:line="240" w:lineRule="auto"/>
              <w:jc w:val="right"/>
            </w:pPr>
            <w:r>
              <w:rPr>
                <w:sz w:val="18"/>
              </w:rPr>
              <w:t>5.056.754,94</w:t>
            </w:r>
          </w:p>
        </w:tc>
        <w:tc>
          <w:tcPr>
            <w:tcW w:w="1860" w:type="dxa"/>
            <w:tcMar>
              <w:top w:w="0" w:type="dxa"/>
              <w:bottom w:w="0" w:type="dxa"/>
            </w:tcMar>
            <w:vAlign w:val="center"/>
          </w:tcPr>
          <w:p w14:paraId="65B00E89" w14:textId="77777777" w:rsidR="003E20DF" w:rsidRDefault="00F01A5C">
            <w:pPr>
              <w:keepNext/>
              <w:keepLines/>
              <w:spacing w:after="0" w:line="240" w:lineRule="auto"/>
              <w:jc w:val="right"/>
            </w:pPr>
            <w:r>
              <w:rPr>
                <w:sz w:val="18"/>
              </w:rPr>
              <w:t>6.454.828,74</w:t>
            </w:r>
          </w:p>
        </w:tc>
        <w:tc>
          <w:tcPr>
            <w:tcW w:w="700" w:type="dxa"/>
            <w:tcMar>
              <w:top w:w="0" w:type="dxa"/>
              <w:bottom w:w="0" w:type="dxa"/>
            </w:tcMar>
            <w:vAlign w:val="center"/>
          </w:tcPr>
          <w:p w14:paraId="2E2A84F2" w14:textId="77777777" w:rsidR="003E20DF" w:rsidRDefault="00F01A5C">
            <w:pPr>
              <w:keepNext/>
              <w:keepLines/>
              <w:spacing w:after="0" w:line="240" w:lineRule="auto"/>
              <w:jc w:val="right"/>
            </w:pPr>
            <w:r>
              <w:rPr>
                <w:sz w:val="18"/>
              </w:rPr>
              <w:t>127,6</w:t>
            </w:r>
          </w:p>
        </w:tc>
      </w:tr>
      <w:tr w:rsidR="003E20DF" w14:paraId="357F658C" w14:textId="77777777">
        <w:trPr>
          <w:cantSplit/>
          <w:trHeight w:val="560"/>
        </w:trPr>
        <w:tc>
          <w:tcPr>
            <w:tcW w:w="700" w:type="dxa"/>
            <w:tcMar>
              <w:top w:w="0" w:type="dxa"/>
              <w:bottom w:w="0" w:type="dxa"/>
            </w:tcMar>
            <w:vAlign w:val="center"/>
          </w:tcPr>
          <w:p w14:paraId="65D442E5" w14:textId="77777777" w:rsidR="003E20DF" w:rsidRDefault="003E20DF">
            <w:pPr>
              <w:keepNext/>
              <w:keepLines/>
              <w:spacing w:after="0" w:line="240" w:lineRule="auto"/>
            </w:pPr>
          </w:p>
        </w:tc>
        <w:tc>
          <w:tcPr>
            <w:tcW w:w="3180" w:type="dxa"/>
            <w:tcMar>
              <w:top w:w="0" w:type="dxa"/>
              <w:bottom w:w="0" w:type="dxa"/>
            </w:tcMar>
            <w:vAlign w:val="center"/>
          </w:tcPr>
          <w:p w14:paraId="1B1735BE" w14:textId="77777777" w:rsidR="003E20DF" w:rsidRDefault="00F01A5C">
            <w:pPr>
              <w:keepNext/>
              <w:keepLines/>
              <w:spacing w:after="0" w:line="240" w:lineRule="auto"/>
            </w:pPr>
            <w:r>
              <w:rPr>
                <w:b/>
                <w:sz w:val="18"/>
              </w:rPr>
              <w:t>MANJAK PRIMITAKA OD FINANCIJSKE IMOVINE I ZADUŽIVANJA (šifre 5-8)</w:t>
            </w:r>
          </w:p>
        </w:tc>
        <w:tc>
          <w:tcPr>
            <w:tcW w:w="700" w:type="dxa"/>
            <w:tcMar>
              <w:top w:w="0" w:type="dxa"/>
              <w:bottom w:w="0" w:type="dxa"/>
            </w:tcMar>
            <w:vAlign w:val="center"/>
          </w:tcPr>
          <w:p w14:paraId="647578BD" w14:textId="77777777" w:rsidR="003E20DF" w:rsidRDefault="00F01A5C">
            <w:pPr>
              <w:keepNext/>
              <w:keepLines/>
              <w:spacing w:after="0" w:line="240" w:lineRule="auto"/>
            </w:pPr>
            <w:r>
              <w:rPr>
                <w:b/>
                <w:sz w:val="18"/>
              </w:rPr>
              <w:t>Y003</w:t>
            </w:r>
          </w:p>
        </w:tc>
        <w:tc>
          <w:tcPr>
            <w:tcW w:w="1860" w:type="dxa"/>
            <w:tcMar>
              <w:top w:w="0" w:type="dxa"/>
              <w:bottom w:w="0" w:type="dxa"/>
            </w:tcMar>
            <w:vAlign w:val="center"/>
          </w:tcPr>
          <w:p w14:paraId="09A5C5C7" w14:textId="77777777" w:rsidR="003E20DF" w:rsidRDefault="00F01A5C">
            <w:pPr>
              <w:keepNext/>
              <w:keepLines/>
              <w:spacing w:after="0" w:line="240" w:lineRule="auto"/>
              <w:jc w:val="right"/>
            </w:pPr>
            <w:r>
              <w:rPr>
                <w:b/>
                <w:sz w:val="18"/>
              </w:rPr>
              <w:t>627.504,51</w:t>
            </w:r>
          </w:p>
        </w:tc>
        <w:tc>
          <w:tcPr>
            <w:tcW w:w="1860" w:type="dxa"/>
            <w:tcMar>
              <w:top w:w="0" w:type="dxa"/>
              <w:bottom w:w="0" w:type="dxa"/>
            </w:tcMar>
            <w:vAlign w:val="center"/>
          </w:tcPr>
          <w:p w14:paraId="37A111F9" w14:textId="77777777" w:rsidR="003E20DF" w:rsidRDefault="00F01A5C">
            <w:pPr>
              <w:keepNext/>
              <w:keepLines/>
              <w:spacing w:after="0" w:line="240" w:lineRule="auto"/>
              <w:jc w:val="right"/>
            </w:pPr>
            <w:r>
              <w:rPr>
                <w:b/>
                <w:sz w:val="18"/>
              </w:rPr>
              <w:t>6.454.828,74</w:t>
            </w:r>
          </w:p>
        </w:tc>
        <w:tc>
          <w:tcPr>
            <w:tcW w:w="700" w:type="dxa"/>
            <w:tcMar>
              <w:top w:w="0" w:type="dxa"/>
              <w:bottom w:w="0" w:type="dxa"/>
            </w:tcMar>
            <w:vAlign w:val="center"/>
          </w:tcPr>
          <w:p w14:paraId="393B5D84" w14:textId="77777777" w:rsidR="003E20DF" w:rsidRDefault="00F01A5C">
            <w:pPr>
              <w:keepNext/>
              <w:keepLines/>
              <w:spacing w:after="0" w:line="240" w:lineRule="auto"/>
              <w:jc w:val="right"/>
            </w:pPr>
            <w:r>
              <w:rPr>
                <w:b/>
                <w:sz w:val="18"/>
              </w:rPr>
              <w:t>1028,7</w:t>
            </w:r>
          </w:p>
        </w:tc>
      </w:tr>
      <w:tr w:rsidR="003E20DF" w14:paraId="783023CF" w14:textId="77777777">
        <w:trPr>
          <w:cantSplit/>
          <w:trHeight w:val="560"/>
        </w:trPr>
        <w:tc>
          <w:tcPr>
            <w:tcW w:w="700" w:type="dxa"/>
            <w:tcMar>
              <w:top w:w="0" w:type="dxa"/>
              <w:bottom w:w="0" w:type="dxa"/>
            </w:tcMar>
            <w:vAlign w:val="center"/>
          </w:tcPr>
          <w:p w14:paraId="73678878" w14:textId="77777777" w:rsidR="003E20DF" w:rsidRDefault="003E20DF">
            <w:pPr>
              <w:keepNext/>
              <w:keepLines/>
              <w:spacing w:after="0" w:line="240" w:lineRule="auto"/>
            </w:pPr>
          </w:p>
        </w:tc>
        <w:tc>
          <w:tcPr>
            <w:tcW w:w="3180" w:type="dxa"/>
            <w:tcMar>
              <w:top w:w="0" w:type="dxa"/>
              <w:bottom w:w="0" w:type="dxa"/>
            </w:tcMar>
            <w:vAlign w:val="center"/>
          </w:tcPr>
          <w:p w14:paraId="65EB50EA" w14:textId="77777777" w:rsidR="003E20DF" w:rsidRDefault="00F01A5C">
            <w:pPr>
              <w:keepNext/>
              <w:keepLines/>
              <w:spacing w:after="0" w:line="240" w:lineRule="auto"/>
            </w:pPr>
            <w:r>
              <w:rPr>
                <w:b/>
                <w:sz w:val="18"/>
              </w:rPr>
              <w:t>MANJAK PRIHODA I PRIMITAKA (šifre Y345-X678)</w:t>
            </w:r>
          </w:p>
        </w:tc>
        <w:tc>
          <w:tcPr>
            <w:tcW w:w="700" w:type="dxa"/>
            <w:tcMar>
              <w:top w:w="0" w:type="dxa"/>
              <w:bottom w:w="0" w:type="dxa"/>
            </w:tcMar>
            <w:vAlign w:val="center"/>
          </w:tcPr>
          <w:p w14:paraId="0F8BFB73" w14:textId="77777777" w:rsidR="003E20DF" w:rsidRDefault="00F01A5C">
            <w:pPr>
              <w:keepNext/>
              <w:keepLines/>
              <w:spacing w:after="0" w:line="240" w:lineRule="auto"/>
            </w:pPr>
            <w:r>
              <w:rPr>
                <w:b/>
                <w:sz w:val="18"/>
              </w:rPr>
              <w:t>Y005</w:t>
            </w:r>
          </w:p>
        </w:tc>
        <w:tc>
          <w:tcPr>
            <w:tcW w:w="1860" w:type="dxa"/>
            <w:tcMar>
              <w:top w:w="0" w:type="dxa"/>
              <w:bottom w:w="0" w:type="dxa"/>
            </w:tcMar>
            <w:vAlign w:val="center"/>
          </w:tcPr>
          <w:p w14:paraId="083A2779" w14:textId="77777777" w:rsidR="003E20DF" w:rsidRDefault="00F01A5C">
            <w:pPr>
              <w:keepNext/>
              <w:keepLines/>
              <w:spacing w:after="0" w:line="240" w:lineRule="auto"/>
              <w:jc w:val="right"/>
            </w:pPr>
            <w:r>
              <w:rPr>
                <w:b/>
                <w:sz w:val="18"/>
              </w:rPr>
              <w:t>0,00</w:t>
            </w:r>
          </w:p>
        </w:tc>
        <w:tc>
          <w:tcPr>
            <w:tcW w:w="1860" w:type="dxa"/>
            <w:tcMar>
              <w:top w:w="0" w:type="dxa"/>
              <w:bottom w:w="0" w:type="dxa"/>
            </w:tcMar>
            <w:vAlign w:val="center"/>
          </w:tcPr>
          <w:p w14:paraId="3A090561" w14:textId="77777777" w:rsidR="003E20DF" w:rsidRDefault="00F01A5C">
            <w:pPr>
              <w:keepNext/>
              <w:keepLines/>
              <w:spacing w:after="0" w:line="240" w:lineRule="auto"/>
              <w:jc w:val="right"/>
            </w:pPr>
            <w:r>
              <w:rPr>
                <w:b/>
                <w:sz w:val="18"/>
              </w:rPr>
              <w:t>10.938.837,81</w:t>
            </w:r>
          </w:p>
        </w:tc>
        <w:tc>
          <w:tcPr>
            <w:tcW w:w="700" w:type="dxa"/>
            <w:tcMar>
              <w:top w:w="0" w:type="dxa"/>
              <w:bottom w:w="0" w:type="dxa"/>
            </w:tcMar>
            <w:vAlign w:val="center"/>
          </w:tcPr>
          <w:p w14:paraId="07202B77" w14:textId="77777777" w:rsidR="003E20DF" w:rsidRDefault="00F01A5C">
            <w:pPr>
              <w:keepNext/>
              <w:keepLines/>
              <w:spacing w:after="0" w:line="240" w:lineRule="auto"/>
              <w:jc w:val="right"/>
            </w:pPr>
            <w:r>
              <w:rPr>
                <w:b/>
                <w:sz w:val="18"/>
              </w:rPr>
              <w:t>-</w:t>
            </w:r>
          </w:p>
        </w:tc>
      </w:tr>
    </w:tbl>
    <w:p w14:paraId="69DAA326" w14:textId="77777777" w:rsidR="003E20DF" w:rsidRDefault="003E20DF">
      <w:pPr>
        <w:spacing w:after="0"/>
      </w:pPr>
    </w:p>
    <w:p w14:paraId="03B1D8D4" w14:textId="77777777" w:rsidR="003E20DF" w:rsidRDefault="00F01A5C" w:rsidP="009564AA">
      <w:pPr>
        <w:ind w:firstLine="708"/>
        <w:jc w:val="both"/>
      </w:pPr>
      <w:r>
        <w:t>Financijski izvještaj Grada Osijeka sastavljen je  sukladno odredbama Pravilnika o financijskom izvještavanju u proračunskom računovodstvu (Narodne novine broj 37/22 i 52/25) i Okružnice o sastavljanju, konsolidaciji i predaji financijskih izvještaja proračuna, proračunskih i izvanproračunskih korisnika državnog proračuna te proračunskih i izvanproračunskih korisnika proračuna jedinica lokalne i područne (regionalne) samouprave za razdoblje od 1. siječnja do 31. prosinca 2025. (KLASA: 400-02/25-01/14, URBROJ: 513-17-</w:t>
      </w:r>
      <w:r>
        <w:lastRenderedPageBreak/>
        <w:t>03-26-5) od 16. siječnja 2026. Financijski izvještaj sastoji se od sljedećih obrazaca: Bilanca (Obrazac BIL), Izvještaj o prohodima i rashodima, primicima i izdacima (Obrazac PR-RAS), Izvještaja o rashodima prema funkcijskoj klasifikaciji (Obrazac RAS-funkcijski), Izvještaja o promjenama u vrijednosti i obujmu imovine, obveza (Obrazac P-VRIO), Izvještaja o obvezama (Obrazac OBVEZE), financijski izvještaj o EU sredstvima (EU izvještaj) i Bilješki. Bilješke su brojčane i opisne i njima se obrazlažu odstupanja odnosno promjene na pozicijama prihoda i rashoda/primitaka i izdataka, imovine, obveza i izvora Grada u odnosu na prethodnu godinu.</w:t>
      </w:r>
    </w:p>
    <w:p w14:paraId="58D7DF55" w14:textId="77777777" w:rsidR="003E20DF" w:rsidRDefault="00F01A5C" w:rsidP="009564AA">
      <w:pPr>
        <w:ind w:firstLine="708"/>
        <w:jc w:val="both"/>
      </w:pPr>
      <w:r>
        <w:t>Obvezne bilješke uz Bilancu koje moraju biti iskazane su popis ugovornih odnosa koji, uz ispunjenje određenih uvjeta, mogu postati imovina ili obveza Grada Osijeka (dana kreditna pisma, hipoteke, garancije, zadužnice i dr.) te popis sudskih sporova u tijeku. </w:t>
      </w:r>
    </w:p>
    <w:p w14:paraId="6C9FA10F" w14:textId="77777777" w:rsidR="003E20DF" w:rsidRDefault="00F01A5C" w:rsidP="009564AA">
      <w:pPr>
        <w:ind w:firstLine="708"/>
        <w:jc w:val="both"/>
      </w:pPr>
      <w:r>
        <w:t>Priznavanje prihoda i primitaka te rashoda i izdataka iskazanih u financijskim izvještajima Grada Osijeka temeljeno je na modificiranom računovodstvenom načelu nastanka događaja.</w:t>
      </w:r>
    </w:p>
    <w:p w14:paraId="42F2ACD8" w14:textId="77777777" w:rsidR="003E20DF" w:rsidRDefault="00F01A5C" w:rsidP="009564AA">
      <w:pPr>
        <w:ind w:firstLine="708"/>
        <w:jc w:val="both"/>
      </w:pPr>
      <w:r>
        <w:t>Grad Osijek od 1.1.2023. posluje putem pune Riznice. Sukladno navedenom, novčana sredstva 27 proračunskih korisnika kojima su ukinuti žiro računi iskazuju se u okviru novčanih sredstava obuhvaćenim ovim izvještajem. Žiro račun nije ukinut za proračunskog korisnika PKC Mađara te novčana sredstva istog nisu iskazana u okviru Bilance Grada Osijeka.</w:t>
      </w:r>
    </w:p>
    <w:p w14:paraId="72DD9FA0" w14:textId="77777777" w:rsidR="003E20DF" w:rsidRDefault="00F01A5C" w:rsidP="009564AA">
      <w:pPr>
        <w:ind w:firstLine="708"/>
        <w:jc w:val="both"/>
      </w:pPr>
      <w:r>
        <w:t>U nastavku je obrazloženje značajnijih odstupanja od ostvarenja u izvještajnom razdoblju prethodne godine:</w:t>
      </w:r>
    </w:p>
    <w:p w14:paraId="3B41B011" w14:textId="77777777" w:rsidR="003E20DF" w:rsidRDefault="00F01A5C">
      <w:r>
        <w:br/>
      </w:r>
    </w:p>
    <w:p w14:paraId="620C483A" w14:textId="77777777" w:rsidR="003E20DF" w:rsidRDefault="00F01A5C">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20DF" w14:paraId="663A44E2" w14:textId="77777777">
        <w:trPr>
          <w:cantSplit/>
        </w:trPr>
        <w:tc>
          <w:tcPr>
            <w:tcW w:w="700" w:type="dxa"/>
            <w:shd w:val="clear" w:color="auto" w:fill="E7F0F9"/>
            <w:tcMar>
              <w:top w:w="0" w:type="dxa"/>
              <w:bottom w:w="0" w:type="dxa"/>
            </w:tcMar>
            <w:vAlign w:val="center"/>
          </w:tcPr>
          <w:p w14:paraId="0C3BC0ED" w14:textId="77777777" w:rsidR="003E20DF" w:rsidRDefault="00F01A5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B64EE21" w14:textId="77777777" w:rsidR="003E20DF" w:rsidRDefault="00F01A5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A10645F" w14:textId="77777777" w:rsidR="003E20DF" w:rsidRDefault="00F01A5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1E75813" w14:textId="77777777" w:rsidR="003E20DF" w:rsidRDefault="00F01A5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32A6FED" w14:textId="77777777" w:rsidR="003E20DF" w:rsidRDefault="00F01A5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E149238" w14:textId="77777777" w:rsidR="003E20DF" w:rsidRDefault="00F01A5C">
            <w:pPr>
              <w:keepNext/>
              <w:keepLines/>
              <w:spacing w:after="0" w:line="240" w:lineRule="auto"/>
              <w:jc w:val="center"/>
            </w:pPr>
            <w:r>
              <w:rPr>
                <w:b/>
                <w:sz w:val="18"/>
              </w:rPr>
              <w:t>Indeks (%)</w:t>
            </w:r>
          </w:p>
        </w:tc>
      </w:tr>
      <w:tr w:rsidR="003E20DF" w14:paraId="5F134B89" w14:textId="77777777">
        <w:trPr>
          <w:cantSplit/>
          <w:trHeight w:val="560"/>
        </w:trPr>
        <w:tc>
          <w:tcPr>
            <w:tcW w:w="700" w:type="dxa"/>
            <w:tcMar>
              <w:top w:w="0" w:type="dxa"/>
              <w:bottom w:w="0" w:type="dxa"/>
            </w:tcMar>
            <w:vAlign w:val="center"/>
          </w:tcPr>
          <w:p w14:paraId="64718A6F" w14:textId="77777777" w:rsidR="003E20DF" w:rsidRDefault="00F01A5C">
            <w:pPr>
              <w:keepNext/>
              <w:keepLines/>
              <w:spacing w:after="0" w:line="240" w:lineRule="auto"/>
            </w:pPr>
            <w:r>
              <w:rPr>
                <w:sz w:val="18"/>
              </w:rPr>
              <w:t>611</w:t>
            </w:r>
          </w:p>
        </w:tc>
        <w:tc>
          <w:tcPr>
            <w:tcW w:w="3180" w:type="dxa"/>
            <w:tcMar>
              <w:top w:w="0" w:type="dxa"/>
              <w:bottom w:w="0" w:type="dxa"/>
            </w:tcMar>
            <w:vAlign w:val="center"/>
          </w:tcPr>
          <w:p w14:paraId="72D8B996" w14:textId="77777777" w:rsidR="003E20DF" w:rsidRDefault="00F01A5C">
            <w:pPr>
              <w:keepNext/>
              <w:keepLines/>
              <w:spacing w:after="0" w:line="240" w:lineRule="auto"/>
            </w:pPr>
            <w:r>
              <w:rPr>
                <w:sz w:val="18"/>
              </w:rPr>
              <w:t>Porez na dohodak (šifre 6111 do 6116 - 6117 - 6119)</w:t>
            </w:r>
          </w:p>
        </w:tc>
        <w:tc>
          <w:tcPr>
            <w:tcW w:w="700" w:type="dxa"/>
            <w:tcMar>
              <w:top w:w="0" w:type="dxa"/>
              <w:bottom w:w="0" w:type="dxa"/>
            </w:tcMar>
            <w:vAlign w:val="center"/>
          </w:tcPr>
          <w:p w14:paraId="7F549398" w14:textId="77777777" w:rsidR="003E20DF" w:rsidRDefault="00F01A5C">
            <w:pPr>
              <w:keepNext/>
              <w:keepLines/>
              <w:spacing w:after="0" w:line="240" w:lineRule="auto"/>
            </w:pPr>
            <w:r>
              <w:rPr>
                <w:sz w:val="18"/>
              </w:rPr>
              <w:t>611</w:t>
            </w:r>
          </w:p>
        </w:tc>
        <w:tc>
          <w:tcPr>
            <w:tcW w:w="1860" w:type="dxa"/>
            <w:tcMar>
              <w:top w:w="0" w:type="dxa"/>
              <w:bottom w:w="0" w:type="dxa"/>
            </w:tcMar>
            <w:vAlign w:val="center"/>
          </w:tcPr>
          <w:p w14:paraId="6AAF21D5" w14:textId="77777777" w:rsidR="003E20DF" w:rsidRDefault="00F01A5C">
            <w:pPr>
              <w:keepNext/>
              <w:keepLines/>
              <w:spacing w:after="0" w:line="240" w:lineRule="auto"/>
              <w:jc w:val="right"/>
            </w:pPr>
            <w:r>
              <w:rPr>
                <w:sz w:val="18"/>
              </w:rPr>
              <w:t>62.503.450,20</w:t>
            </w:r>
          </w:p>
        </w:tc>
        <w:tc>
          <w:tcPr>
            <w:tcW w:w="1860" w:type="dxa"/>
            <w:tcMar>
              <w:top w:w="0" w:type="dxa"/>
              <w:bottom w:w="0" w:type="dxa"/>
            </w:tcMar>
            <w:vAlign w:val="center"/>
          </w:tcPr>
          <w:p w14:paraId="5BB1CCB5" w14:textId="77777777" w:rsidR="003E20DF" w:rsidRDefault="00F01A5C">
            <w:pPr>
              <w:keepNext/>
              <w:keepLines/>
              <w:spacing w:after="0" w:line="240" w:lineRule="auto"/>
              <w:jc w:val="right"/>
            </w:pPr>
            <w:r>
              <w:rPr>
                <w:sz w:val="18"/>
              </w:rPr>
              <w:t>73.313.893,27</w:t>
            </w:r>
          </w:p>
        </w:tc>
        <w:tc>
          <w:tcPr>
            <w:tcW w:w="700" w:type="dxa"/>
            <w:tcMar>
              <w:top w:w="0" w:type="dxa"/>
              <w:bottom w:w="0" w:type="dxa"/>
            </w:tcMar>
            <w:vAlign w:val="center"/>
          </w:tcPr>
          <w:p w14:paraId="4F071DE9" w14:textId="77777777" w:rsidR="003E20DF" w:rsidRDefault="00F01A5C">
            <w:pPr>
              <w:keepNext/>
              <w:keepLines/>
              <w:spacing w:after="0" w:line="240" w:lineRule="auto"/>
              <w:jc w:val="right"/>
            </w:pPr>
            <w:r>
              <w:rPr>
                <w:sz w:val="18"/>
              </w:rPr>
              <w:t>117,3</w:t>
            </w:r>
          </w:p>
        </w:tc>
      </w:tr>
    </w:tbl>
    <w:p w14:paraId="0245A316" w14:textId="77777777" w:rsidR="003E20DF" w:rsidRDefault="003E20DF">
      <w:pPr>
        <w:spacing w:after="0"/>
      </w:pPr>
    </w:p>
    <w:p w14:paraId="448E2E13" w14:textId="26FBDEEE" w:rsidR="003E20DF" w:rsidRDefault="00F01A5C" w:rsidP="009564AA">
      <w:pPr>
        <w:ind w:firstLine="708"/>
        <w:jc w:val="both"/>
      </w:pPr>
      <w:r>
        <w:t>Porez na dohodak veći je za 10.810.443,07 eura u odnosu na isto razdoblje prethodne godine. Ovaj rast vezan je za nastavak trenda povećanja broja zaposlenih na području grada Osijeka te rast plaća u privatnom i javnom sektoru. Ovo je posebice izraženo u dijelu vezanom za državne službenike i namještenike te javne službe uslijed izmjene odluka o koeficijentima za iste u 2025. te rasta osnovice (3% od veljače 2025. + 3% od rujna 2025.).</w:t>
      </w:r>
    </w:p>
    <w:p w14:paraId="1D8A79C1" w14:textId="77777777" w:rsidR="003E20DF" w:rsidRDefault="003E20DF"/>
    <w:p w14:paraId="646DAC57" w14:textId="77777777" w:rsidR="003E20DF" w:rsidRDefault="00F01A5C">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20DF" w14:paraId="57FD679E" w14:textId="77777777">
        <w:trPr>
          <w:cantSplit/>
        </w:trPr>
        <w:tc>
          <w:tcPr>
            <w:tcW w:w="700" w:type="dxa"/>
            <w:shd w:val="clear" w:color="auto" w:fill="E7F0F9"/>
            <w:tcMar>
              <w:top w:w="0" w:type="dxa"/>
              <w:bottom w:w="0" w:type="dxa"/>
            </w:tcMar>
            <w:vAlign w:val="center"/>
          </w:tcPr>
          <w:p w14:paraId="5E796D88" w14:textId="77777777" w:rsidR="003E20DF" w:rsidRDefault="00F01A5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36BD1C5" w14:textId="77777777" w:rsidR="003E20DF" w:rsidRDefault="00F01A5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A5B6AD4" w14:textId="77777777" w:rsidR="003E20DF" w:rsidRDefault="00F01A5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01E0F05" w14:textId="77777777" w:rsidR="003E20DF" w:rsidRDefault="00F01A5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C332202" w14:textId="77777777" w:rsidR="003E20DF" w:rsidRDefault="00F01A5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0AC95D8" w14:textId="77777777" w:rsidR="003E20DF" w:rsidRDefault="00F01A5C">
            <w:pPr>
              <w:keepNext/>
              <w:keepLines/>
              <w:spacing w:after="0" w:line="240" w:lineRule="auto"/>
              <w:jc w:val="center"/>
            </w:pPr>
            <w:r>
              <w:rPr>
                <w:b/>
                <w:sz w:val="18"/>
              </w:rPr>
              <w:t>Indeks (%)</w:t>
            </w:r>
          </w:p>
        </w:tc>
      </w:tr>
      <w:tr w:rsidR="003E20DF" w14:paraId="0F79E634" w14:textId="77777777">
        <w:trPr>
          <w:cantSplit/>
          <w:trHeight w:val="560"/>
        </w:trPr>
        <w:tc>
          <w:tcPr>
            <w:tcW w:w="700" w:type="dxa"/>
            <w:tcMar>
              <w:top w:w="0" w:type="dxa"/>
              <w:bottom w:w="0" w:type="dxa"/>
            </w:tcMar>
            <w:vAlign w:val="center"/>
          </w:tcPr>
          <w:p w14:paraId="2F7D04AC" w14:textId="77777777" w:rsidR="003E20DF" w:rsidRDefault="00F01A5C">
            <w:pPr>
              <w:keepNext/>
              <w:keepLines/>
              <w:spacing w:after="0" w:line="240" w:lineRule="auto"/>
            </w:pPr>
            <w:r>
              <w:rPr>
                <w:sz w:val="18"/>
              </w:rPr>
              <w:t>613</w:t>
            </w:r>
          </w:p>
        </w:tc>
        <w:tc>
          <w:tcPr>
            <w:tcW w:w="3180" w:type="dxa"/>
            <w:tcMar>
              <w:top w:w="0" w:type="dxa"/>
              <w:bottom w:w="0" w:type="dxa"/>
            </w:tcMar>
            <w:vAlign w:val="center"/>
          </w:tcPr>
          <w:p w14:paraId="6A290004" w14:textId="77777777" w:rsidR="003E20DF" w:rsidRDefault="00F01A5C">
            <w:pPr>
              <w:keepNext/>
              <w:keepLines/>
              <w:spacing w:after="0" w:line="240" w:lineRule="auto"/>
            </w:pPr>
            <w:r>
              <w:rPr>
                <w:sz w:val="18"/>
              </w:rPr>
              <w:t>Porezi na imovinu (šifre 6131 do 6135)</w:t>
            </w:r>
          </w:p>
        </w:tc>
        <w:tc>
          <w:tcPr>
            <w:tcW w:w="700" w:type="dxa"/>
            <w:tcMar>
              <w:top w:w="0" w:type="dxa"/>
              <w:bottom w:w="0" w:type="dxa"/>
            </w:tcMar>
            <w:vAlign w:val="center"/>
          </w:tcPr>
          <w:p w14:paraId="41F288DF" w14:textId="77777777" w:rsidR="003E20DF" w:rsidRDefault="00F01A5C">
            <w:pPr>
              <w:keepNext/>
              <w:keepLines/>
              <w:spacing w:after="0" w:line="240" w:lineRule="auto"/>
            </w:pPr>
            <w:r>
              <w:rPr>
                <w:sz w:val="18"/>
              </w:rPr>
              <w:t>613</w:t>
            </w:r>
          </w:p>
        </w:tc>
        <w:tc>
          <w:tcPr>
            <w:tcW w:w="1860" w:type="dxa"/>
            <w:tcMar>
              <w:top w:w="0" w:type="dxa"/>
              <w:bottom w:w="0" w:type="dxa"/>
            </w:tcMar>
            <w:vAlign w:val="center"/>
          </w:tcPr>
          <w:p w14:paraId="1079B0AD" w14:textId="77777777" w:rsidR="003E20DF" w:rsidRDefault="00F01A5C">
            <w:pPr>
              <w:keepNext/>
              <w:keepLines/>
              <w:spacing w:after="0" w:line="240" w:lineRule="auto"/>
              <w:jc w:val="right"/>
            </w:pPr>
            <w:r>
              <w:rPr>
                <w:sz w:val="18"/>
              </w:rPr>
              <w:t>4.783.980,36</w:t>
            </w:r>
          </w:p>
        </w:tc>
        <w:tc>
          <w:tcPr>
            <w:tcW w:w="1860" w:type="dxa"/>
            <w:tcMar>
              <w:top w:w="0" w:type="dxa"/>
              <w:bottom w:w="0" w:type="dxa"/>
            </w:tcMar>
            <w:vAlign w:val="center"/>
          </w:tcPr>
          <w:p w14:paraId="277B9246" w14:textId="77777777" w:rsidR="003E20DF" w:rsidRDefault="00F01A5C">
            <w:pPr>
              <w:keepNext/>
              <w:keepLines/>
              <w:spacing w:after="0" w:line="240" w:lineRule="auto"/>
              <w:jc w:val="right"/>
            </w:pPr>
            <w:r>
              <w:rPr>
                <w:sz w:val="18"/>
              </w:rPr>
              <w:t>4.656.193,46</w:t>
            </w:r>
          </w:p>
        </w:tc>
        <w:tc>
          <w:tcPr>
            <w:tcW w:w="700" w:type="dxa"/>
            <w:tcMar>
              <w:top w:w="0" w:type="dxa"/>
              <w:bottom w:w="0" w:type="dxa"/>
            </w:tcMar>
            <w:vAlign w:val="center"/>
          </w:tcPr>
          <w:p w14:paraId="4AA74E76" w14:textId="77777777" w:rsidR="003E20DF" w:rsidRDefault="00F01A5C">
            <w:pPr>
              <w:keepNext/>
              <w:keepLines/>
              <w:spacing w:after="0" w:line="240" w:lineRule="auto"/>
              <w:jc w:val="right"/>
            </w:pPr>
            <w:r>
              <w:rPr>
                <w:sz w:val="18"/>
              </w:rPr>
              <w:t>97,3</w:t>
            </w:r>
          </w:p>
        </w:tc>
      </w:tr>
    </w:tbl>
    <w:p w14:paraId="52810A7E" w14:textId="77777777" w:rsidR="003E20DF" w:rsidRDefault="003E20DF">
      <w:pPr>
        <w:spacing w:after="0"/>
      </w:pPr>
    </w:p>
    <w:p w14:paraId="3B7C670E" w14:textId="5B1AF5A4" w:rsidR="003E20DF" w:rsidRDefault="00F01A5C" w:rsidP="009564AA">
      <w:pPr>
        <w:ind w:firstLine="708"/>
        <w:jc w:val="both"/>
      </w:pPr>
      <w:r>
        <w:lastRenderedPageBreak/>
        <w:t>Porez na imovinu je manji za 127.786,90 eura u odnosu na isto razdoblje prethodne godine uslijed nešto manjeg obujma prometa nekretninama na području Grada Osijeka</w:t>
      </w:r>
      <w:r w:rsidR="00131ED9">
        <w:t>.</w:t>
      </w:r>
    </w:p>
    <w:p w14:paraId="2E8A516A" w14:textId="77777777" w:rsidR="003E20DF" w:rsidRDefault="003E20DF"/>
    <w:p w14:paraId="0B62145F" w14:textId="77777777" w:rsidR="003E20DF" w:rsidRDefault="00F01A5C">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20DF" w14:paraId="681AE63D" w14:textId="77777777">
        <w:trPr>
          <w:cantSplit/>
        </w:trPr>
        <w:tc>
          <w:tcPr>
            <w:tcW w:w="700" w:type="dxa"/>
            <w:shd w:val="clear" w:color="auto" w:fill="E7F0F9"/>
            <w:tcMar>
              <w:top w:w="0" w:type="dxa"/>
              <w:bottom w:w="0" w:type="dxa"/>
            </w:tcMar>
            <w:vAlign w:val="center"/>
          </w:tcPr>
          <w:p w14:paraId="4CB43137" w14:textId="77777777" w:rsidR="003E20DF" w:rsidRDefault="00F01A5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7D0E75E" w14:textId="77777777" w:rsidR="003E20DF" w:rsidRDefault="00F01A5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448D990" w14:textId="77777777" w:rsidR="003E20DF" w:rsidRDefault="00F01A5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9CF500A" w14:textId="77777777" w:rsidR="003E20DF" w:rsidRDefault="00F01A5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13E6A9A" w14:textId="77777777" w:rsidR="003E20DF" w:rsidRDefault="00F01A5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28C36B0" w14:textId="77777777" w:rsidR="003E20DF" w:rsidRDefault="00F01A5C">
            <w:pPr>
              <w:keepNext/>
              <w:keepLines/>
              <w:spacing w:after="0" w:line="240" w:lineRule="auto"/>
              <w:jc w:val="center"/>
            </w:pPr>
            <w:r>
              <w:rPr>
                <w:b/>
                <w:sz w:val="18"/>
              </w:rPr>
              <w:t>Indeks (%)</w:t>
            </w:r>
          </w:p>
        </w:tc>
      </w:tr>
      <w:tr w:rsidR="003E20DF" w14:paraId="1C1356E4" w14:textId="77777777">
        <w:trPr>
          <w:cantSplit/>
          <w:trHeight w:val="560"/>
        </w:trPr>
        <w:tc>
          <w:tcPr>
            <w:tcW w:w="700" w:type="dxa"/>
            <w:tcMar>
              <w:top w:w="0" w:type="dxa"/>
              <w:bottom w:w="0" w:type="dxa"/>
            </w:tcMar>
            <w:vAlign w:val="center"/>
          </w:tcPr>
          <w:p w14:paraId="6AFF9177" w14:textId="77777777" w:rsidR="003E20DF" w:rsidRDefault="00F01A5C">
            <w:pPr>
              <w:keepNext/>
              <w:keepLines/>
              <w:spacing w:after="0" w:line="240" w:lineRule="auto"/>
            </w:pPr>
            <w:r>
              <w:rPr>
                <w:sz w:val="18"/>
              </w:rPr>
              <w:t>631</w:t>
            </w:r>
          </w:p>
        </w:tc>
        <w:tc>
          <w:tcPr>
            <w:tcW w:w="3180" w:type="dxa"/>
            <w:tcMar>
              <w:top w:w="0" w:type="dxa"/>
              <w:bottom w:w="0" w:type="dxa"/>
            </w:tcMar>
            <w:vAlign w:val="center"/>
          </w:tcPr>
          <w:p w14:paraId="697C843B" w14:textId="77777777" w:rsidR="003E20DF" w:rsidRDefault="00F01A5C">
            <w:pPr>
              <w:keepNext/>
              <w:keepLines/>
              <w:spacing w:after="0" w:line="240" w:lineRule="auto"/>
            </w:pPr>
            <w:r>
              <w:rPr>
                <w:sz w:val="18"/>
              </w:rPr>
              <w:t>Pomoći od inozemnih vlada (šifre 6311+6312)</w:t>
            </w:r>
          </w:p>
        </w:tc>
        <w:tc>
          <w:tcPr>
            <w:tcW w:w="700" w:type="dxa"/>
            <w:tcMar>
              <w:top w:w="0" w:type="dxa"/>
              <w:bottom w:w="0" w:type="dxa"/>
            </w:tcMar>
            <w:vAlign w:val="center"/>
          </w:tcPr>
          <w:p w14:paraId="68E9AAF7" w14:textId="77777777" w:rsidR="003E20DF" w:rsidRDefault="00F01A5C">
            <w:pPr>
              <w:keepNext/>
              <w:keepLines/>
              <w:spacing w:after="0" w:line="240" w:lineRule="auto"/>
            </w:pPr>
            <w:r>
              <w:rPr>
                <w:sz w:val="18"/>
              </w:rPr>
              <w:t>631</w:t>
            </w:r>
          </w:p>
        </w:tc>
        <w:tc>
          <w:tcPr>
            <w:tcW w:w="1860" w:type="dxa"/>
            <w:tcMar>
              <w:top w:w="0" w:type="dxa"/>
              <w:bottom w:w="0" w:type="dxa"/>
            </w:tcMar>
            <w:vAlign w:val="center"/>
          </w:tcPr>
          <w:p w14:paraId="6750B645" w14:textId="77777777" w:rsidR="003E20DF" w:rsidRDefault="00F01A5C">
            <w:pPr>
              <w:keepNext/>
              <w:keepLines/>
              <w:spacing w:after="0" w:line="240" w:lineRule="auto"/>
              <w:jc w:val="right"/>
            </w:pPr>
            <w:r>
              <w:rPr>
                <w:sz w:val="18"/>
              </w:rPr>
              <w:t>178.653,82</w:t>
            </w:r>
          </w:p>
        </w:tc>
        <w:tc>
          <w:tcPr>
            <w:tcW w:w="1860" w:type="dxa"/>
            <w:tcMar>
              <w:top w:w="0" w:type="dxa"/>
              <w:bottom w:w="0" w:type="dxa"/>
            </w:tcMar>
            <w:vAlign w:val="center"/>
          </w:tcPr>
          <w:p w14:paraId="1E6D6E87" w14:textId="77777777" w:rsidR="003E20DF" w:rsidRDefault="00F01A5C">
            <w:pPr>
              <w:keepNext/>
              <w:keepLines/>
              <w:spacing w:after="0" w:line="240" w:lineRule="auto"/>
              <w:jc w:val="right"/>
            </w:pPr>
            <w:r>
              <w:rPr>
                <w:sz w:val="18"/>
              </w:rPr>
              <w:t>129.921,50</w:t>
            </w:r>
          </w:p>
        </w:tc>
        <w:tc>
          <w:tcPr>
            <w:tcW w:w="700" w:type="dxa"/>
            <w:tcMar>
              <w:top w:w="0" w:type="dxa"/>
              <w:bottom w:w="0" w:type="dxa"/>
            </w:tcMar>
            <w:vAlign w:val="center"/>
          </w:tcPr>
          <w:p w14:paraId="6735F560" w14:textId="77777777" w:rsidR="003E20DF" w:rsidRDefault="00F01A5C">
            <w:pPr>
              <w:keepNext/>
              <w:keepLines/>
              <w:spacing w:after="0" w:line="240" w:lineRule="auto"/>
              <w:jc w:val="right"/>
            </w:pPr>
            <w:r>
              <w:rPr>
                <w:sz w:val="18"/>
              </w:rPr>
              <w:t>72,7</w:t>
            </w:r>
          </w:p>
        </w:tc>
      </w:tr>
    </w:tbl>
    <w:p w14:paraId="2CF93BB3" w14:textId="77777777" w:rsidR="003E20DF" w:rsidRDefault="003E20DF">
      <w:pPr>
        <w:spacing w:after="0"/>
      </w:pPr>
    </w:p>
    <w:p w14:paraId="707417D1" w14:textId="77777777" w:rsidR="003E20DF" w:rsidRDefault="00F01A5C" w:rsidP="009564AA">
      <w:pPr>
        <w:ind w:firstLine="708"/>
      </w:pPr>
      <w:r>
        <w:t>U okviru ove šifre vidljiva je  doznaka sredstva za projekt UHHUR HORIZON, WELDI i URBAN BLUE HEALTH.</w:t>
      </w:r>
    </w:p>
    <w:p w14:paraId="30C2AC4E" w14:textId="77777777" w:rsidR="003E20DF" w:rsidRDefault="003E20DF"/>
    <w:p w14:paraId="3758FE15" w14:textId="77777777" w:rsidR="003E20DF" w:rsidRDefault="00F01A5C">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20DF" w14:paraId="07F5C60D" w14:textId="77777777">
        <w:trPr>
          <w:cantSplit/>
        </w:trPr>
        <w:tc>
          <w:tcPr>
            <w:tcW w:w="700" w:type="dxa"/>
            <w:shd w:val="clear" w:color="auto" w:fill="E7F0F9"/>
            <w:tcMar>
              <w:top w:w="0" w:type="dxa"/>
              <w:bottom w:w="0" w:type="dxa"/>
            </w:tcMar>
            <w:vAlign w:val="center"/>
          </w:tcPr>
          <w:p w14:paraId="6C184BFC" w14:textId="77777777" w:rsidR="003E20DF" w:rsidRDefault="00F01A5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B27F303" w14:textId="77777777" w:rsidR="003E20DF" w:rsidRDefault="00F01A5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6A2ACA8" w14:textId="77777777" w:rsidR="003E20DF" w:rsidRDefault="00F01A5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9C67887" w14:textId="77777777" w:rsidR="003E20DF" w:rsidRDefault="00F01A5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E0AC887" w14:textId="77777777" w:rsidR="003E20DF" w:rsidRDefault="00F01A5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EBBDC0C" w14:textId="77777777" w:rsidR="003E20DF" w:rsidRDefault="00F01A5C">
            <w:pPr>
              <w:keepNext/>
              <w:keepLines/>
              <w:spacing w:after="0" w:line="240" w:lineRule="auto"/>
              <w:jc w:val="center"/>
            </w:pPr>
            <w:r>
              <w:rPr>
                <w:b/>
                <w:sz w:val="18"/>
              </w:rPr>
              <w:t>Indeks (%)</w:t>
            </w:r>
          </w:p>
        </w:tc>
      </w:tr>
      <w:tr w:rsidR="003E20DF" w14:paraId="7C68C644" w14:textId="77777777">
        <w:trPr>
          <w:cantSplit/>
          <w:trHeight w:val="560"/>
        </w:trPr>
        <w:tc>
          <w:tcPr>
            <w:tcW w:w="700" w:type="dxa"/>
            <w:tcMar>
              <w:top w:w="0" w:type="dxa"/>
              <w:bottom w:w="0" w:type="dxa"/>
            </w:tcMar>
            <w:vAlign w:val="center"/>
          </w:tcPr>
          <w:p w14:paraId="7ABBA6C7" w14:textId="77777777" w:rsidR="003E20DF" w:rsidRDefault="00F01A5C">
            <w:pPr>
              <w:keepNext/>
              <w:keepLines/>
              <w:spacing w:after="0" w:line="240" w:lineRule="auto"/>
            </w:pPr>
            <w:r>
              <w:rPr>
                <w:sz w:val="18"/>
              </w:rPr>
              <w:t>633</w:t>
            </w:r>
          </w:p>
        </w:tc>
        <w:tc>
          <w:tcPr>
            <w:tcW w:w="3180" w:type="dxa"/>
            <w:tcMar>
              <w:top w:w="0" w:type="dxa"/>
              <w:bottom w:w="0" w:type="dxa"/>
            </w:tcMar>
            <w:vAlign w:val="center"/>
          </w:tcPr>
          <w:p w14:paraId="0BFA1A21" w14:textId="77777777" w:rsidR="003E20DF" w:rsidRDefault="00F01A5C">
            <w:pPr>
              <w:keepNext/>
              <w:keepLines/>
              <w:spacing w:after="0" w:line="240" w:lineRule="auto"/>
            </w:pPr>
            <w:r>
              <w:rPr>
                <w:sz w:val="18"/>
              </w:rPr>
              <w:t>Pomoći proračunu i izvanproračunskim korisnicima iz drugih proračuna (šifre 6331+6332)</w:t>
            </w:r>
          </w:p>
        </w:tc>
        <w:tc>
          <w:tcPr>
            <w:tcW w:w="700" w:type="dxa"/>
            <w:tcMar>
              <w:top w:w="0" w:type="dxa"/>
              <w:bottom w:w="0" w:type="dxa"/>
            </w:tcMar>
            <w:vAlign w:val="center"/>
          </w:tcPr>
          <w:p w14:paraId="14C924F4" w14:textId="77777777" w:rsidR="003E20DF" w:rsidRDefault="00F01A5C">
            <w:pPr>
              <w:keepNext/>
              <w:keepLines/>
              <w:spacing w:after="0" w:line="240" w:lineRule="auto"/>
            </w:pPr>
            <w:r>
              <w:rPr>
                <w:sz w:val="18"/>
              </w:rPr>
              <w:t>633</w:t>
            </w:r>
          </w:p>
        </w:tc>
        <w:tc>
          <w:tcPr>
            <w:tcW w:w="1860" w:type="dxa"/>
            <w:tcMar>
              <w:top w:w="0" w:type="dxa"/>
              <w:bottom w:w="0" w:type="dxa"/>
            </w:tcMar>
            <w:vAlign w:val="center"/>
          </w:tcPr>
          <w:p w14:paraId="039B6AA1" w14:textId="77777777" w:rsidR="003E20DF" w:rsidRDefault="00F01A5C">
            <w:pPr>
              <w:keepNext/>
              <w:keepLines/>
              <w:spacing w:after="0" w:line="240" w:lineRule="auto"/>
              <w:jc w:val="right"/>
            </w:pPr>
            <w:r>
              <w:rPr>
                <w:sz w:val="18"/>
              </w:rPr>
              <w:t>3.761.531,34</w:t>
            </w:r>
          </w:p>
        </w:tc>
        <w:tc>
          <w:tcPr>
            <w:tcW w:w="1860" w:type="dxa"/>
            <w:tcMar>
              <w:top w:w="0" w:type="dxa"/>
              <w:bottom w:w="0" w:type="dxa"/>
            </w:tcMar>
            <w:vAlign w:val="center"/>
          </w:tcPr>
          <w:p w14:paraId="7C5648A0" w14:textId="77777777" w:rsidR="003E20DF" w:rsidRDefault="00F01A5C">
            <w:pPr>
              <w:keepNext/>
              <w:keepLines/>
              <w:spacing w:after="0" w:line="240" w:lineRule="auto"/>
              <w:jc w:val="right"/>
            </w:pPr>
            <w:r>
              <w:rPr>
                <w:sz w:val="18"/>
              </w:rPr>
              <w:t>3.293.051,19</w:t>
            </w:r>
          </w:p>
        </w:tc>
        <w:tc>
          <w:tcPr>
            <w:tcW w:w="700" w:type="dxa"/>
            <w:tcMar>
              <w:top w:w="0" w:type="dxa"/>
              <w:bottom w:w="0" w:type="dxa"/>
            </w:tcMar>
            <w:vAlign w:val="center"/>
          </w:tcPr>
          <w:p w14:paraId="152D0D6D" w14:textId="77777777" w:rsidR="003E20DF" w:rsidRDefault="00F01A5C">
            <w:pPr>
              <w:keepNext/>
              <w:keepLines/>
              <w:spacing w:after="0" w:line="240" w:lineRule="auto"/>
              <w:jc w:val="right"/>
            </w:pPr>
            <w:r>
              <w:rPr>
                <w:sz w:val="18"/>
              </w:rPr>
              <w:t>87,5</w:t>
            </w:r>
          </w:p>
        </w:tc>
      </w:tr>
    </w:tbl>
    <w:p w14:paraId="5A8B1D55" w14:textId="77777777" w:rsidR="003E20DF" w:rsidRDefault="003E20DF">
      <w:pPr>
        <w:spacing w:after="0"/>
      </w:pPr>
    </w:p>
    <w:p w14:paraId="25F11ED2" w14:textId="77777777" w:rsidR="003E20DF" w:rsidRDefault="00F01A5C" w:rsidP="009564AA">
      <w:pPr>
        <w:ind w:firstLine="708"/>
        <w:jc w:val="both"/>
      </w:pPr>
      <w:r>
        <w:t>Ostvarenje ovih pomoći u 2025. iznosi 3.293.051,19 eura. Značajno povećanje u okviru ove šifre vezano je za doznaku  sredstva MRRFEU-a za uređenje dvorane Kulturnog centra u iznosu od 579.670,95 eura, temeljem izvršenih rashoda u 2024., doznačenu pomoć Osječko-baranjske županije za sufinanciranje i postavljanje vanjske rasvjete na sportskom centru Bikara u iznosu od 50.000,00 eura te za zajedničko tretiranje komaraca u iznosu 200.000,00 eura. Sredstva su doznačena i od strane Državnog proračuna u iznosu 100.000,00 eura.  Značajnu stavku predstavlja i fiskalna održivost Dječjih vrtića Osijek u iznosu od 1.798.742,00 eura. U sklopu projekta Osigurajmo im jednakost 8 doznačena su sredstva Fonda za sufinanciranje u iznosu od 125.010,00 eura. Također, doznačena su sredstva Fonda za izgradnju biciklističkih staza u iznosu 89.949,39 eura, za opremanje dječjih igrališta (NK Metalac) u iznosu od 50.000,00 eura kao i kapitalna pomoć za opremanje dječjeg vrtića Krijesnica u iznosu 37.672,90 eura. Na temelju odluke o dodjeli pomoći na ime poticaja za dobrovoljno funkcionalno spajanje jedinca lokalne samouprave s trgovačkim društvom Gradski prijevoz putnika uplaćena su sredstva u iznosu od 66.361,40 eura.</w:t>
      </w:r>
    </w:p>
    <w:p w14:paraId="2E382912" w14:textId="77777777" w:rsidR="003E20DF" w:rsidRDefault="003E20DF"/>
    <w:p w14:paraId="3B8C55A8" w14:textId="77777777" w:rsidR="003E20DF" w:rsidRDefault="00F01A5C">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20DF" w14:paraId="3E90E5B5" w14:textId="77777777">
        <w:trPr>
          <w:cantSplit/>
        </w:trPr>
        <w:tc>
          <w:tcPr>
            <w:tcW w:w="700" w:type="dxa"/>
            <w:shd w:val="clear" w:color="auto" w:fill="E7F0F9"/>
            <w:tcMar>
              <w:top w:w="0" w:type="dxa"/>
              <w:bottom w:w="0" w:type="dxa"/>
            </w:tcMar>
            <w:vAlign w:val="center"/>
          </w:tcPr>
          <w:p w14:paraId="11BED7C4" w14:textId="77777777" w:rsidR="003E20DF" w:rsidRDefault="00F01A5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168237D" w14:textId="77777777" w:rsidR="003E20DF" w:rsidRDefault="00F01A5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3264F78" w14:textId="77777777" w:rsidR="003E20DF" w:rsidRDefault="00F01A5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FC39F5D" w14:textId="77777777" w:rsidR="003E20DF" w:rsidRDefault="00F01A5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EC57480" w14:textId="77777777" w:rsidR="003E20DF" w:rsidRDefault="00F01A5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8131170" w14:textId="77777777" w:rsidR="003E20DF" w:rsidRDefault="00F01A5C">
            <w:pPr>
              <w:keepNext/>
              <w:keepLines/>
              <w:spacing w:after="0" w:line="240" w:lineRule="auto"/>
              <w:jc w:val="center"/>
            </w:pPr>
            <w:r>
              <w:rPr>
                <w:b/>
                <w:sz w:val="18"/>
              </w:rPr>
              <w:t>Indeks (%)</w:t>
            </w:r>
          </w:p>
        </w:tc>
      </w:tr>
      <w:tr w:rsidR="003E20DF" w14:paraId="58818D75" w14:textId="77777777">
        <w:trPr>
          <w:cantSplit/>
          <w:trHeight w:val="560"/>
        </w:trPr>
        <w:tc>
          <w:tcPr>
            <w:tcW w:w="700" w:type="dxa"/>
            <w:tcMar>
              <w:top w:w="0" w:type="dxa"/>
              <w:bottom w:w="0" w:type="dxa"/>
            </w:tcMar>
            <w:vAlign w:val="center"/>
          </w:tcPr>
          <w:p w14:paraId="57C9196F" w14:textId="77777777" w:rsidR="003E20DF" w:rsidRDefault="00F01A5C">
            <w:pPr>
              <w:keepNext/>
              <w:keepLines/>
              <w:spacing w:after="0" w:line="240" w:lineRule="auto"/>
            </w:pPr>
            <w:r>
              <w:rPr>
                <w:sz w:val="18"/>
              </w:rPr>
              <w:t>634</w:t>
            </w:r>
          </w:p>
        </w:tc>
        <w:tc>
          <w:tcPr>
            <w:tcW w:w="3180" w:type="dxa"/>
            <w:tcMar>
              <w:top w:w="0" w:type="dxa"/>
              <w:bottom w:w="0" w:type="dxa"/>
            </w:tcMar>
            <w:vAlign w:val="center"/>
          </w:tcPr>
          <w:p w14:paraId="58E19881" w14:textId="77777777" w:rsidR="003E20DF" w:rsidRDefault="00F01A5C">
            <w:pPr>
              <w:keepNext/>
              <w:keepLines/>
              <w:spacing w:after="0" w:line="240" w:lineRule="auto"/>
            </w:pPr>
            <w:r>
              <w:rPr>
                <w:sz w:val="18"/>
              </w:rPr>
              <w:t>Pomoći od izvanproračunskih korisnika (šifre 6341+6342)</w:t>
            </w:r>
          </w:p>
        </w:tc>
        <w:tc>
          <w:tcPr>
            <w:tcW w:w="700" w:type="dxa"/>
            <w:tcMar>
              <w:top w:w="0" w:type="dxa"/>
              <w:bottom w:w="0" w:type="dxa"/>
            </w:tcMar>
            <w:vAlign w:val="center"/>
          </w:tcPr>
          <w:p w14:paraId="61A47D41" w14:textId="77777777" w:rsidR="003E20DF" w:rsidRDefault="00F01A5C">
            <w:pPr>
              <w:keepNext/>
              <w:keepLines/>
              <w:spacing w:after="0" w:line="240" w:lineRule="auto"/>
            </w:pPr>
            <w:r>
              <w:rPr>
                <w:sz w:val="18"/>
              </w:rPr>
              <w:t>634</w:t>
            </w:r>
          </w:p>
        </w:tc>
        <w:tc>
          <w:tcPr>
            <w:tcW w:w="1860" w:type="dxa"/>
            <w:tcMar>
              <w:top w:w="0" w:type="dxa"/>
              <w:bottom w:w="0" w:type="dxa"/>
            </w:tcMar>
            <w:vAlign w:val="center"/>
          </w:tcPr>
          <w:p w14:paraId="7E661222" w14:textId="77777777" w:rsidR="003E20DF" w:rsidRDefault="00F01A5C">
            <w:pPr>
              <w:keepNext/>
              <w:keepLines/>
              <w:spacing w:after="0" w:line="240" w:lineRule="auto"/>
              <w:jc w:val="right"/>
            </w:pPr>
            <w:r>
              <w:rPr>
                <w:sz w:val="18"/>
              </w:rPr>
              <w:t>778.563,03</w:t>
            </w:r>
          </w:p>
        </w:tc>
        <w:tc>
          <w:tcPr>
            <w:tcW w:w="1860" w:type="dxa"/>
            <w:tcMar>
              <w:top w:w="0" w:type="dxa"/>
              <w:bottom w:w="0" w:type="dxa"/>
            </w:tcMar>
            <w:vAlign w:val="center"/>
          </w:tcPr>
          <w:p w14:paraId="2CD2954B" w14:textId="77777777" w:rsidR="003E20DF" w:rsidRDefault="00F01A5C">
            <w:pPr>
              <w:keepNext/>
              <w:keepLines/>
              <w:spacing w:after="0" w:line="240" w:lineRule="auto"/>
              <w:jc w:val="right"/>
            </w:pPr>
            <w:r>
              <w:rPr>
                <w:sz w:val="18"/>
              </w:rPr>
              <w:t>1.406.047,99</w:t>
            </w:r>
          </w:p>
        </w:tc>
        <w:tc>
          <w:tcPr>
            <w:tcW w:w="700" w:type="dxa"/>
            <w:tcMar>
              <w:top w:w="0" w:type="dxa"/>
              <w:bottom w:w="0" w:type="dxa"/>
            </w:tcMar>
            <w:vAlign w:val="center"/>
          </w:tcPr>
          <w:p w14:paraId="25B62A4D" w14:textId="77777777" w:rsidR="003E20DF" w:rsidRDefault="00F01A5C">
            <w:pPr>
              <w:keepNext/>
              <w:keepLines/>
              <w:spacing w:after="0" w:line="240" w:lineRule="auto"/>
              <w:jc w:val="right"/>
            </w:pPr>
            <w:r>
              <w:rPr>
                <w:sz w:val="18"/>
              </w:rPr>
              <w:t>180,6</w:t>
            </w:r>
          </w:p>
        </w:tc>
      </w:tr>
    </w:tbl>
    <w:p w14:paraId="7D1CB843" w14:textId="77777777" w:rsidR="003E20DF" w:rsidRDefault="003E20DF">
      <w:pPr>
        <w:spacing w:after="0"/>
      </w:pPr>
    </w:p>
    <w:p w14:paraId="51D5DEB8" w14:textId="77777777" w:rsidR="003E20DF" w:rsidRDefault="00F01A5C" w:rsidP="009564AA">
      <w:pPr>
        <w:ind w:firstLine="708"/>
        <w:jc w:val="both"/>
      </w:pPr>
      <w:r>
        <w:lastRenderedPageBreak/>
        <w:t>U 2025. uplate su najvećim dijelom vezane za doznake sredstava ŽUC-a za održavanje nerazvrstanih cesta u iznosu 830.854,25 eura.</w:t>
      </w:r>
    </w:p>
    <w:p w14:paraId="14CE26C4" w14:textId="77777777" w:rsidR="003E20DF" w:rsidRDefault="003E20DF"/>
    <w:p w14:paraId="43B1F296" w14:textId="77777777" w:rsidR="003E20DF" w:rsidRDefault="00F01A5C">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20DF" w14:paraId="147FBE4E" w14:textId="77777777">
        <w:trPr>
          <w:cantSplit/>
        </w:trPr>
        <w:tc>
          <w:tcPr>
            <w:tcW w:w="700" w:type="dxa"/>
            <w:shd w:val="clear" w:color="auto" w:fill="E7F0F9"/>
            <w:tcMar>
              <w:top w:w="0" w:type="dxa"/>
              <w:bottom w:w="0" w:type="dxa"/>
            </w:tcMar>
            <w:vAlign w:val="center"/>
          </w:tcPr>
          <w:p w14:paraId="1CB445FA" w14:textId="77777777" w:rsidR="003E20DF" w:rsidRDefault="00F01A5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AED475C" w14:textId="77777777" w:rsidR="003E20DF" w:rsidRDefault="00F01A5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BD76F77" w14:textId="77777777" w:rsidR="003E20DF" w:rsidRDefault="00F01A5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2DBCFF1" w14:textId="77777777" w:rsidR="003E20DF" w:rsidRDefault="00F01A5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5C534BB" w14:textId="77777777" w:rsidR="003E20DF" w:rsidRDefault="00F01A5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984BE28" w14:textId="77777777" w:rsidR="003E20DF" w:rsidRDefault="00F01A5C">
            <w:pPr>
              <w:keepNext/>
              <w:keepLines/>
              <w:spacing w:after="0" w:line="240" w:lineRule="auto"/>
              <w:jc w:val="center"/>
            </w:pPr>
            <w:r>
              <w:rPr>
                <w:b/>
                <w:sz w:val="18"/>
              </w:rPr>
              <w:t>Indeks (%)</w:t>
            </w:r>
          </w:p>
        </w:tc>
      </w:tr>
      <w:tr w:rsidR="003E20DF" w14:paraId="6657A12F" w14:textId="77777777">
        <w:trPr>
          <w:cantSplit/>
          <w:trHeight w:val="560"/>
        </w:trPr>
        <w:tc>
          <w:tcPr>
            <w:tcW w:w="700" w:type="dxa"/>
            <w:tcMar>
              <w:top w:w="0" w:type="dxa"/>
              <w:bottom w:w="0" w:type="dxa"/>
            </w:tcMar>
            <w:vAlign w:val="center"/>
          </w:tcPr>
          <w:p w14:paraId="03B46B8A" w14:textId="77777777" w:rsidR="003E20DF" w:rsidRDefault="00F01A5C">
            <w:pPr>
              <w:keepNext/>
              <w:keepLines/>
              <w:spacing w:after="0" w:line="240" w:lineRule="auto"/>
            </w:pPr>
            <w:r>
              <w:rPr>
                <w:sz w:val="18"/>
              </w:rPr>
              <w:t>635</w:t>
            </w:r>
          </w:p>
        </w:tc>
        <w:tc>
          <w:tcPr>
            <w:tcW w:w="3180" w:type="dxa"/>
            <w:tcMar>
              <w:top w:w="0" w:type="dxa"/>
              <w:bottom w:w="0" w:type="dxa"/>
            </w:tcMar>
            <w:vAlign w:val="center"/>
          </w:tcPr>
          <w:p w14:paraId="3B8E3F43" w14:textId="77777777" w:rsidR="003E20DF" w:rsidRDefault="00F01A5C">
            <w:pPr>
              <w:keepNext/>
              <w:keepLines/>
              <w:spacing w:after="0" w:line="240" w:lineRule="auto"/>
            </w:pPr>
            <w:r>
              <w:rPr>
                <w:sz w:val="18"/>
              </w:rPr>
              <w:t>Pomoći izravnanja za decentralizirane funkcije i fiskalnog izravnanja (šifre 6351 do 6353)</w:t>
            </w:r>
          </w:p>
        </w:tc>
        <w:tc>
          <w:tcPr>
            <w:tcW w:w="700" w:type="dxa"/>
            <w:tcMar>
              <w:top w:w="0" w:type="dxa"/>
              <w:bottom w:w="0" w:type="dxa"/>
            </w:tcMar>
            <w:vAlign w:val="center"/>
          </w:tcPr>
          <w:p w14:paraId="5B1DB4AC" w14:textId="77777777" w:rsidR="003E20DF" w:rsidRDefault="00F01A5C">
            <w:pPr>
              <w:keepNext/>
              <w:keepLines/>
              <w:spacing w:after="0" w:line="240" w:lineRule="auto"/>
            </w:pPr>
            <w:r>
              <w:rPr>
                <w:sz w:val="18"/>
              </w:rPr>
              <w:t>635</w:t>
            </w:r>
          </w:p>
        </w:tc>
        <w:tc>
          <w:tcPr>
            <w:tcW w:w="1860" w:type="dxa"/>
            <w:tcMar>
              <w:top w:w="0" w:type="dxa"/>
              <w:bottom w:w="0" w:type="dxa"/>
            </w:tcMar>
            <w:vAlign w:val="center"/>
          </w:tcPr>
          <w:p w14:paraId="1DA90154" w14:textId="77777777" w:rsidR="003E20DF" w:rsidRDefault="00F01A5C">
            <w:pPr>
              <w:keepNext/>
              <w:keepLines/>
              <w:spacing w:after="0" w:line="240" w:lineRule="auto"/>
              <w:jc w:val="right"/>
            </w:pPr>
            <w:r>
              <w:rPr>
                <w:sz w:val="18"/>
              </w:rPr>
              <w:t>1.585.547,39</w:t>
            </w:r>
          </w:p>
        </w:tc>
        <w:tc>
          <w:tcPr>
            <w:tcW w:w="1860" w:type="dxa"/>
            <w:tcMar>
              <w:top w:w="0" w:type="dxa"/>
              <w:bottom w:w="0" w:type="dxa"/>
            </w:tcMar>
            <w:vAlign w:val="center"/>
          </w:tcPr>
          <w:p w14:paraId="77A4BAFF" w14:textId="77777777" w:rsidR="003E20DF" w:rsidRDefault="00F01A5C">
            <w:pPr>
              <w:keepNext/>
              <w:keepLines/>
              <w:spacing w:after="0" w:line="240" w:lineRule="auto"/>
              <w:jc w:val="right"/>
            </w:pPr>
            <w:r>
              <w:rPr>
                <w:sz w:val="18"/>
              </w:rPr>
              <w:t>1.391.180,21</w:t>
            </w:r>
          </w:p>
        </w:tc>
        <w:tc>
          <w:tcPr>
            <w:tcW w:w="700" w:type="dxa"/>
            <w:tcMar>
              <w:top w:w="0" w:type="dxa"/>
              <w:bottom w:w="0" w:type="dxa"/>
            </w:tcMar>
            <w:vAlign w:val="center"/>
          </w:tcPr>
          <w:p w14:paraId="05A6AD6B" w14:textId="77777777" w:rsidR="003E20DF" w:rsidRDefault="00F01A5C">
            <w:pPr>
              <w:keepNext/>
              <w:keepLines/>
              <w:spacing w:after="0" w:line="240" w:lineRule="auto"/>
              <w:jc w:val="right"/>
            </w:pPr>
            <w:r>
              <w:rPr>
                <w:sz w:val="18"/>
              </w:rPr>
              <w:t>87,7</w:t>
            </w:r>
          </w:p>
        </w:tc>
      </w:tr>
    </w:tbl>
    <w:p w14:paraId="4ACF7492" w14:textId="77777777" w:rsidR="003E20DF" w:rsidRDefault="003E20DF">
      <w:pPr>
        <w:spacing w:after="0"/>
      </w:pPr>
    </w:p>
    <w:p w14:paraId="13B7DF7B" w14:textId="77777777" w:rsidR="003E20DF" w:rsidRDefault="00F01A5C" w:rsidP="009564AA">
      <w:pPr>
        <w:ind w:firstLine="708"/>
        <w:jc w:val="both"/>
      </w:pPr>
      <w:r>
        <w:t>Pomoći izravnavanja za decentralizirane funkcije manji je za 194.367,18 eura u odnosu na prethodno razdoblje kao rezultat rasta prihoda od poreza, a time i sredstava od poreza za financiranje decentraliziranih funkcija osnovnog školstva i vatrogastva.</w:t>
      </w:r>
    </w:p>
    <w:p w14:paraId="10052E61" w14:textId="77777777" w:rsidR="003E20DF" w:rsidRDefault="003E20DF"/>
    <w:p w14:paraId="31D0F7A9" w14:textId="77777777" w:rsidR="003E20DF" w:rsidRDefault="00F01A5C">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20DF" w14:paraId="6F852457" w14:textId="77777777">
        <w:trPr>
          <w:cantSplit/>
        </w:trPr>
        <w:tc>
          <w:tcPr>
            <w:tcW w:w="700" w:type="dxa"/>
            <w:shd w:val="clear" w:color="auto" w:fill="E7F0F9"/>
            <w:tcMar>
              <w:top w:w="0" w:type="dxa"/>
              <w:bottom w:w="0" w:type="dxa"/>
            </w:tcMar>
            <w:vAlign w:val="center"/>
          </w:tcPr>
          <w:p w14:paraId="38B9DF9E" w14:textId="77777777" w:rsidR="003E20DF" w:rsidRDefault="00F01A5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DC48657" w14:textId="77777777" w:rsidR="003E20DF" w:rsidRDefault="00F01A5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7629E90" w14:textId="77777777" w:rsidR="003E20DF" w:rsidRDefault="00F01A5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D699D74" w14:textId="77777777" w:rsidR="003E20DF" w:rsidRDefault="00F01A5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7CA4C40" w14:textId="77777777" w:rsidR="003E20DF" w:rsidRDefault="00F01A5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6DBF64F" w14:textId="77777777" w:rsidR="003E20DF" w:rsidRDefault="00F01A5C">
            <w:pPr>
              <w:keepNext/>
              <w:keepLines/>
              <w:spacing w:after="0" w:line="240" w:lineRule="auto"/>
              <w:jc w:val="center"/>
            </w:pPr>
            <w:r>
              <w:rPr>
                <w:b/>
                <w:sz w:val="18"/>
              </w:rPr>
              <w:t>Indeks (%)</w:t>
            </w:r>
          </w:p>
        </w:tc>
      </w:tr>
      <w:tr w:rsidR="003E20DF" w14:paraId="7FB84890" w14:textId="77777777">
        <w:trPr>
          <w:cantSplit/>
          <w:trHeight w:val="560"/>
        </w:trPr>
        <w:tc>
          <w:tcPr>
            <w:tcW w:w="700" w:type="dxa"/>
            <w:tcMar>
              <w:top w:w="0" w:type="dxa"/>
              <w:bottom w:w="0" w:type="dxa"/>
            </w:tcMar>
            <w:vAlign w:val="center"/>
          </w:tcPr>
          <w:p w14:paraId="61D01052" w14:textId="77777777" w:rsidR="003E20DF" w:rsidRDefault="00F01A5C">
            <w:pPr>
              <w:keepNext/>
              <w:keepLines/>
              <w:spacing w:after="0" w:line="240" w:lineRule="auto"/>
            </w:pPr>
            <w:r>
              <w:rPr>
                <w:sz w:val="18"/>
              </w:rPr>
              <w:t>638</w:t>
            </w:r>
          </w:p>
        </w:tc>
        <w:tc>
          <w:tcPr>
            <w:tcW w:w="3180" w:type="dxa"/>
            <w:tcMar>
              <w:top w:w="0" w:type="dxa"/>
              <w:bottom w:w="0" w:type="dxa"/>
            </w:tcMar>
            <w:vAlign w:val="center"/>
          </w:tcPr>
          <w:p w14:paraId="060EF73A" w14:textId="77777777" w:rsidR="003E20DF" w:rsidRDefault="00F01A5C">
            <w:pPr>
              <w:keepNext/>
              <w:keepLines/>
              <w:spacing w:after="0" w:line="240" w:lineRule="auto"/>
            </w:pPr>
            <w:r>
              <w:rPr>
                <w:sz w:val="18"/>
              </w:rPr>
              <w:t>Pomoći temeljem prijenosa EU sredstava (šifre 6381+6382)</w:t>
            </w:r>
          </w:p>
        </w:tc>
        <w:tc>
          <w:tcPr>
            <w:tcW w:w="700" w:type="dxa"/>
            <w:tcMar>
              <w:top w:w="0" w:type="dxa"/>
              <w:bottom w:w="0" w:type="dxa"/>
            </w:tcMar>
            <w:vAlign w:val="center"/>
          </w:tcPr>
          <w:p w14:paraId="072F32F5" w14:textId="77777777" w:rsidR="003E20DF" w:rsidRDefault="00F01A5C">
            <w:pPr>
              <w:keepNext/>
              <w:keepLines/>
              <w:spacing w:after="0" w:line="240" w:lineRule="auto"/>
            </w:pPr>
            <w:r>
              <w:rPr>
                <w:sz w:val="18"/>
              </w:rPr>
              <w:t>638</w:t>
            </w:r>
          </w:p>
        </w:tc>
        <w:tc>
          <w:tcPr>
            <w:tcW w:w="1860" w:type="dxa"/>
            <w:tcMar>
              <w:top w:w="0" w:type="dxa"/>
              <w:bottom w:w="0" w:type="dxa"/>
            </w:tcMar>
            <w:vAlign w:val="center"/>
          </w:tcPr>
          <w:p w14:paraId="38C28E09" w14:textId="77777777" w:rsidR="003E20DF" w:rsidRDefault="00F01A5C">
            <w:pPr>
              <w:keepNext/>
              <w:keepLines/>
              <w:spacing w:after="0" w:line="240" w:lineRule="auto"/>
              <w:jc w:val="right"/>
            </w:pPr>
            <w:r>
              <w:rPr>
                <w:sz w:val="18"/>
              </w:rPr>
              <w:t>3.630.577,02</w:t>
            </w:r>
          </w:p>
        </w:tc>
        <w:tc>
          <w:tcPr>
            <w:tcW w:w="1860" w:type="dxa"/>
            <w:tcMar>
              <w:top w:w="0" w:type="dxa"/>
              <w:bottom w:w="0" w:type="dxa"/>
            </w:tcMar>
            <w:vAlign w:val="center"/>
          </w:tcPr>
          <w:p w14:paraId="1ACFCF7B" w14:textId="77777777" w:rsidR="003E20DF" w:rsidRDefault="00F01A5C">
            <w:pPr>
              <w:keepNext/>
              <w:keepLines/>
              <w:spacing w:after="0" w:line="240" w:lineRule="auto"/>
              <w:jc w:val="right"/>
            </w:pPr>
            <w:r>
              <w:rPr>
                <w:sz w:val="18"/>
              </w:rPr>
              <w:t>3.492.544,26</w:t>
            </w:r>
          </w:p>
        </w:tc>
        <w:tc>
          <w:tcPr>
            <w:tcW w:w="700" w:type="dxa"/>
            <w:tcMar>
              <w:top w:w="0" w:type="dxa"/>
              <w:bottom w:w="0" w:type="dxa"/>
            </w:tcMar>
            <w:vAlign w:val="center"/>
          </w:tcPr>
          <w:p w14:paraId="31575DDA" w14:textId="77777777" w:rsidR="003E20DF" w:rsidRDefault="00F01A5C">
            <w:pPr>
              <w:keepNext/>
              <w:keepLines/>
              <w:spacing w:after="0" w:line="240" w:lineRule="auto"/>
              <w:jc w:val="right"/>
            </w:pPr>
            <w:r>
              <w:rPr>
                <w:sz w:val="18"/>
              </w:rPr>
              <w:t>96,2</w:t>
            </w:r>
          </w:p>
        </w:tc>
      </w:tr>
    </w:tbl>
    <w:p w14:paraId="5BC4AA61" w14:textId="77777777" w:rsidR="003E20DF" w:rsidRDefault="003E20DF">
      <w:pPr>
        <w:spacing w:after="0"/>
      </w:pPr>
    </w:p>
    <w:p w14:paraId="22C94500" w14:textId="77777777" w:rsidR="003E20DF" w:rsidRDefault="00F01A5C" w:rsidP="009564AA">
      <w:pPr>
        <w:ind w:firstLine="708"/>
        <w:jc w:val="both"/>
      </w:pPr>
      <w:r>
        <w:t>Iskazano smanjenje  prihoda vezano je za veća doznačena sredstva u 2024. u odnosu na 2025. godinu državnog proračuna za izgradnju dječjih vrtića. U 2025. izvršena je refundacija po završnim zahtjevima za nadoknadu sredstava za dječje vrtiće u Tenji, Uskim njivama i DV Sjenčica. Doznačena su sredstva za  projekte Osigurajmo im jednakost, izgradnju biciklističkih staza te za školsku shemu voća i mlijeka.</w:t>
      </w:r>
    </w:p>
    <w:p w14:paraId="1E68CAD9" w14:textId="77777777" w:rsidR="003E20DF" w:rsidRDefault="003E20DF"/>
    <w:p w14:paraId="353AA300" w14:textId="77777777" w:rsidR="003E20DF" w:rsidRDefault="00F01A5C">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20DF" w14:paraId="1EF7920B" w14:textId="77777777">
        <w:trPr>
          <w:cantSplit/>
        </w:trPr>
        <w:tc>
          <w:tcPr>
            <w:tcW w:w="700" w:type="dxa"/>
            <w:shd w:val="clear" w:color="auto" w:fill="E7F0F9"/>
            <w:tcMar>
              <w:top w:w="0" w:type="dxa"/>
              <w:bottom w:w="0" w:type="dxa"/>
            </w:tcMar>
            <w:vAlign w:val="center"/>
          </w:tcPr>
          <w:p w14:paraId="258C0B5F" w14:textId="77777777" w:rsidR="003E20DF" w:rsidRDefault="00F01A5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89D0339" w14:textId="77777777" w:rsidR="003E20DF" w:rsidRDefault="00F01A5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A914EAB" w14:textId="77777777" w:rsidR="003E20DF" w:rsidRDefault="00F01A5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383A900" w14:textId="77777777" w:rsidR="003E20DF" w:rsidRDefault="00F01A5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CF72549" w14:textId="77777777" w:rsidR="003E20DF" w:rsidRDefault="00F01A5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05E5BE0" w14:textId="77777777" w:rsidR="003E20DF" w:rsidRDefault="00F01A5C">
            <w:pPr>
              <w:keepNext/>
              <w:keepLines/>
              <w:spacing w:after="0" w:line="240" w:lineRule="auto"/>
              <w:jc w:val="center"/>
            </w:pPr>
            <w:r>
              <w:rPr>
                <w:b/>
                <w:sz w:val="18"/>
              </w:rPr>
              <w:t>Indeks (%)</w:t>
            </w:r>
          </w:p>
        </w:tc>
      </w:tr>
      <w:tr w:rsidR="003E20DF" w14:paraId="6AECFA76" w14:textId="77777777">
        <w:trPr>
          <w:cantSplit/>
          <w:trHeight w:val="560"/>
        </w:trPr>
        <w:tc>
          <w:tcPr>
            <w:tcW w:w="700" w:type="dxa"/>
            <w:tcMar>
              <w:top w:w="0" w:type="dxa"/>
              <w:bottom w:w="0" w:type="dxa"/>
            </w:tcMar>
            <w:vAlign w:val="center"/>
          </w:tcPr>
          <w:p w14:paraId="1AAA7887" w14:textId="77777777" w:rsidR="003E20DF" w:rsidRDefault="00F01A5C">
            <w:pPr>
              <w:keepNext/>
              <w:keepLines/>
              <w:spacing w:after="0" w:line="240" w:lineRule="auto"/>
            </w:pPr>
            <w:r>
              <w:rPr>
                <w:sz w:val="18"/>
              </w:rPr>
              <w:t>6413</w:t>
            </w:r>
          </w:p>
        </w:tc>
        <w:tc>
          <w:tcPr>
            <w:tcW w:w="3180" w:type="dxa"/>
            <w:tcMar>
              <w:top w:w="0" w:type="dxa"/>
              <w:bottom w:w="0" w:type="dxa"/>
            </w:tcMar>
            <w:vAlign w:val="center"/>
          </w:tcPr>
          <w:p w14:paraId="18DEA64B" w14:textId="77777777" w:rsidR="003E20DF" w:rsidRDefault="00F01A5C">
            <w:pPr>
              <w:keepNext/>
              <w:keepLines/>
              <w:spacing w:after="0" w:line="240" w:lineRule="auto"/>
            </w:pPr>
            <w:r>
              <w:rPr>
                <w:sz w:val="18"/>
              </w:rPr>
              <w:t>Kamate na oročena sredstva i depozite po viđenju</w:t>
            </w:r>
          </w:p>
        </w:tc>
        <w:tc>
          <w:tcPr>
            <w:tcW w:w="700" w:type="dxa"/>
            <w:tcMar>
              <w:top w:w="0" w:type="dxa"/>
              <w:bottom w:w="0" w:type="dxa"/>
            </w:tcMar>
            <w:vAlign w:val="center"/>
          </w:tcPr>
          <w:p w14:paraId="309E3728" w14:textId="77777777" w:rsidR="003E20DF" w:rsidRDefault="00F01A5C">
            <w:pPr>
              <w:keepNext/>
              <w:keepLines/>
              <w:spacing w:after="0" w:line="240" w:lineRule="auto"/>
            </w:pPr>
            <w:r>
              <w:rPr>
                <w:sz w:val="18"/>
              </w:rPr>
              <w:t>6413</w:t>
            </w:r>
          </w:p>
        </w:tc>
        <w:tc>
          <w:tcPr>
            <w:tcW w:w="1860" w:type="dxa"/>
            <w:tcMar>
              <w:top w:w="0" w:type="dxa"/>
              <w:bottom w:w="0" w:type="dxa"/>
            </w:tcMar>
            <w:vAlign w:val="center"/>
          </w:tcPr>
          <w:p w14:paraId="40B6BDF1" w14:textId="77777777" w:rsidR="003E20DF" w:rsidRDefault="00F01A5C">
            <w:pPr>
              <w:keepNext/>
              <w:keepLines/>
              <w:spacing w:after="0" w:line="240" w:lineRule="auto"/>
              <w:jc w:val="right"/>
            </w:pPr>
            <w:r>
              <w:rPr>
                <w:sz w:val="18"/>
              </w:rPr>
              <w:t>529.889,21</w:t>
            </w:r>
          </w:p>
        </w:tc>
        <w:tc>
          <w:tcPr>
            <w:tcW w:w="1860" w:type="dxa"/>
            <w:tcMar>
              <w:top w:w="0" w:type="dxa"/>
              <w:bottom w:w="0" w:type="dxa"/>
            </w:tcMar>
            <w:vAlign w:val="center"/>
          </w:tcPr>
          <w:p w14:paraId="3DA19A2C" w14:textId="77777777" w:rsidR="003E20DF" w:rsidRDefault="00F01A5C">
            <w:pPr>
              <w:keepNext/>
              <w:keepLines/>
              <w:spacing w:after="0" w:line="240" w:lineRule="auto"/>
              <w:jc w:val="right"/>
            </w:pPr>
            <w:r>
              <w:rPr>
                <w:sz w:val="18"/>
              </w:rPr>
              <w:t>289.832,07</w:t>
            </w:r>
          </w:p>
        </w:tc>
        <w:tc>
          <w:tcPr>
            <w:tcW w:w="700" w:type="dxa"/>
            <w:tcMar>
              <w:top w:w="0" w:type="dxa"/>
              <w:bottom w:w="0" w:type="dxa"/>
            </w:tcMar>
            <w:vAlign w:val="center"/>
          </w:tcPr>
          <w:p w14:paraId="7BA458BB" w14:textId="77777777" w:rsidR="003E20DF" w:rsidRDefault="00F01A5C">
            <w:pPr>
              <w:keepNext/>
              <w:keepLines/>
              <w:spacing w:after="0" w:line="240" w:lineRule="auto"/>
              <w:jc w:val="right"/>
            </w:pPr>
            <w:r>
              <w:rPr>
                <w:sz w:val="18"/>
              </w:rPr>
              <w:t>54,7</w:t>
            </w:r>
          </w:p>
        </w:tc>
      </w:tr>
    </w:tbl>
    <w:p w14:paraId="20517CE0" w14:textId="77777777" w:rsidR="003E20DF" w:rsidRDefault="003E20DF">
      <w:pPr>
        <w:spacing w:after="0"/>
      </w:pPr>
    </w:p>
    <w:p w14:paraId="71306887" w14:textId="77777777" w:rsidR="003E20DF" w:rsidRDefault="00F01A5C" w:rsidP="009564AA">
      <w:pPr>
        <w:ind w:firstLine="708"/>
        <w:jc w:val="both"/>
      </w:pPr>
      <w:r>
        <w:t>U okviru ove šifre za izvještajno razdoblje ostvaren je manji prihod od kamata na oročena novčana sredstva u odnosu na isto izvještajno razdoblje prethodne godine uslijed sniženja kamatnih stopa te manjeg iznosa oročenih sredstava.</w:t>
      </w:r>
    </w:p>
    <w:p w14:paraId="6926E3FF" w14:textId="77777777" w:rsidR="003E20DF" w:rsidRDefault="003E20DF"/>
    <w:p w14:paraId="1405AFA4" w14:textId="77777777" w:rsidR="003E20DF" w:rsidRDefault="00F01A5C">
      <w:pPr>
        <w:keepNext/>
        <w:spacing w:line="240" w:lineRule="auto"/>
        <w:jc w:val="center"/>
      </w:pPr>
      <w:r>
        <w:rPr>
          <w:sz w:val="28"/>
        </w:rPr>
        <w:lastRenderedPageBreak/>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20DF" w14:paraId="2304FF33" w14:textId="77777777">
        <w:trPr>
          <w:cantSplit/>
        </w:trPr>
        <w:tc>
          <w:tcPr>
            <w:tcW w:w="700" w:type="dxa"/>
            <w:shd w:val="clear" w:color="auto" w:fill="E7F0F9"/>
            <w:tcMar>
              <w:top w:w="0" w:type="dxa"/>
              <w:bottom w:w="0" w:type="dxa"/>
            </w:tcMar>
            <w:vAlign w:val="center"/>
          </w:tcPr>
          <w:p w14:paraId="392FDFAD" w14:textId="77777777" w:rsidR="003E20DF" w:rsidRDefault="00F01A5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CA4B30E" w14:textId="77777777" w:rsidR="003E20DF" w:rsidRDefault="00F01A5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5761DAA" w14:textId="77777777" w:rsidR="003E20DF" w:rsidRDefault="00F01A5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F5CED15" w14:textId="77777777" w:rsidR="003E20DF" w:rsidRDefault="00F01A5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B000ECE" w14:textId="77777777" w:rsidR="003E20DF" w:rsidRDefault="00F01A5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C44B5F2" w14:textId="77777777" w:rsidR="003E20DF" w:rsidRDefault="00F01A5C">
            <w:pPr>
              <w:keepNext/>
              <w:keepLines/>
              <w:spacing w:after="0" w:line="240" w:lineRule="auto"/>
              <w:jc w:val="center"/>
            </w:pPr>
            <w:r>
              <w:rPr>
                <w:b/>
                <w:sz w:val="18"/>
              </w:rPr>
              <w:t>Indeks (%)</w:t>
            </w:r>
          </w:p>
        </w:tc>
      </w:tr>
      <w:tr w:rsidR="003E20DF" w14:paraId="79177DF0" w14:textId="77777777">
        <w:trPr>
          <w:cantSplit/>
          <w:trHeight w:val="560"/>
        </w:trPr>
        <w:tc>
          <w:tcPr>
            <w:tcW w:w="700" w:type="dxa"/>
            <w:tcMar>
              <w:top w:w="0" w:type="dxa"/>
              <w:bottom w:w="0" w:type="dxa"/>
            </w:tcMar>
            <w:vAlign w:val="center"/>
          </w:tcPr>
          <w:p w14:paraId="11BF0BCA" w14:textId="77777777" w:rsidR="003E20DF" w:rsidRDefault="00F01A5C">
            <w:pPr>
              <w:keepNext/>
              <w:keepLines/>
              <w:spacing w:after="0" w:line="240" w:lineRule="auto"/>
            </w:pPr>
            <w:r>
              <w:rPr>
                <w:sz w:val="18"/>
              </w:rPr>
              <w:t>6414</w:t>
            </w:r>
          </w:p>
        </w:tc>
        <w:tc>
          <w:tcPr>
            <w:tcW w:w="3180" w:type="dxa"/>
            <w:tcMar>
              <w:top w:w="0" w:type="dxa"/>
              <w:bottom w:w="0" w:type="dxa"/>
            </w:tcMar>
            <w:vAlign w:val="center"/>
          </w:tcPr>
          <w:p w14:paraId="69340A10" w14:textId="77777777" w:rsidR="003E20DF" w:rsidRDefault="00F01A5C">
            <w:pPr>
              <w:keepNext/>
              <w:keepLines/>
              <w:spacing w:after="0" w:line="240" w:lineRule="auto"/>
            </w:pPr>
            <w:r>
              <w:rPr>
                <w:sz w:val="18"/>
              </w:rPr>
              <w:t>Prihodi od zateznih kamata</w:t>
            </w:r>
          </w:p>
        </w:tc>
        <w:tc>
          <w:tcPr>
            <w:tcW w:w="700" w:type="dxa"/>
            <w:tcMar>
              <w:top w:w="0" w:type="dxa"/>
              <w:bottom w:w="0" w:type="dxa"/>
            </w:tcMar>
            <w:vAlign w:val="center"/>
          </w:tcPr>
          <w:p w14:paraId="0C73052C" w14:textId="77777777" w:rsidR="003E20DF" w:rsidRDefault="00F01A5C">
            <w:pPr>
              <w:keepNext/>
              <w:keepLines/>
              <w:spacing w:after="0" w:line="240" w:lineRule="auto"/>
            </w:pPr>
            <w:r>
              <w:rPr>
                <w:sz w:val="18"/>
              </w:rPr>
              <w:t>6414</w:t>
            </w:r>
          </w:p>
        </w:tc>
        <w:tc>
          <w:tcPr>
            <w:tcW w:w="1860" w:type="dxa"/>
            <w:tcMar>
              <w:top w:w="0" w:type="dxa"/>
              <w:bottom w:w="0" w:type="dxa"/>
            </w:tcMar>
            <w:vAlign w:val="center"/>
          </w:tcPr>
          <w:p w14:paraId="339A180A" w14:textId="77777777" w:rsidR="003E20DF" w:rsidRDefault="00F01A5C">
            <w:pPr>
              <w:keepNext/>
              <w:keepLines/>
              <w:spacing w:after="0" w:line="240" w:lineRule="auto"/>
              <w:jc w:val="right"/>
            </w:pPr>
            <w:r>
              <w:rPr>
                <w:sz w:val="18"/>
              </w:rPr>
              <w:t>20.828,90</w:t>
            </w:r>
          </w:p>
        </w:tc>
        <w:tc>
          <w:tcPr>
            <w:tcW w:w="1860" w:type="dxa"/>
            <w:tcMar>
              <w:top w:w="0" w:type="dxa"/>
              <w:bottom w:w="0" w:type="dxa"/>
            </w:tcMar>
            <w:vAlign w:val="center"/>
          </w:tcPr>
          <w:p w14:paraId="3999142C" w14:textId="77777777" w:rsidR="003E20DF" w:rsidRDefault="00F01A5C">
            <w:pPr>
              <w:keepNext/>
              <w:keepLines/>
              <w:spacing w:after="0" w:line="240" w:lineRule="auto"/>
              <w:jc w:val="right"/>
            </w:pPr>
            <w:r>
              <w:rPr>
                <w:sz w:val="18"/>
              </w:rPr>
              <w:t>41.549,38</w:t>
            </w:r>
          </w:p>
        </w:tc>
        <w:tc>
          <w:tcPr>
            <w:tcW w:w="700" w:type="dxa"/>
            <w:tcMar>
              <w:top w:w="0" w:type="dxa"/>
              <w:bottom w:w="0" w:type="dxa"/>
            </w:tcMar>
            <w:vAlign w:val="center"/>
          </w:tcPr>
          <w:p w14:paraId="40A79BF9" w14:textId="77777777" w:rsidR="003E20DF" w:rsidRDefault="00F01A5C">
            <w:pPr>
              <w:keepNext/>
              <w:keepLines/>
              <w:spacing w:after="0" w:line="240" w:lineRule="auto"/>
              <w:jc w:val="right"/>
            </w:pPr>
            <w:r>
              <w:rPr>
                <w:sz w:val="18"/>
              </w:rPr>
              <w:t>199,5</w:t>
            </w:r>
          </w:p>
        </w:tc>
      </w:tr>
    </w:tbl>
    <w:p w14:paraId="15476244" w14:textId="77777777" w:rsidR="003E20DF" w:rsidRDefault="003E20DF">
      <w:pPr>
        <w:spacing w:after="0"/>
      </w:pPr>
    </w:p>
    <w:p w14:paraId="6E918AC4" w14:textId="62CEFDC4" w:rsidR="003E20DF" w:rsidRDefault="00F01A5C">
      <w:r>
        <w:t>Rast u okviru ovih prihoda vezan je za poduzete mjere naplate potraživanja</w:t>
      </w:r>
      <w:r w:rsidR="00B20751">
        <w:t>.</w:t>
      </w:r>
    </w:p>
    <w:p w14:paraId="608566A8" w14:textId="77777777" w:rsidR="003E20DF" w:rsidRDefault="003E20DF"/>
    <w:p w14:paraId="78C012C5" w14:textId="77777777" w:rsidR="003E20DF" w:rsidRDefault="00F01A5C">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20DF" w14:paraId="10592809" w14:textId="77777777">
        <w:trPr>
          <w:cantSplit/>
        </w:trPr>
        <w:tc>
          <w:tcPr>
            <w:tcW w:w="700" w:type="dxa"/>
            <w:shd w:val="clear" w:color="auto" w:fill="E7F0F9"/>
            <w:tcMar>
              <w:top w:w="0" w:type="dxa"/>
              <w:bottom w:w="0" w:type="dxa"/>
            </w:tcMar>
            <w:vAlign w:val="center"/>
          </w:tcPr>
          <w:p w14:paraId="7B9D044D" w14:textId="77777777" w:rsidR="003E20DF" w:rsidRDefault="00F01A5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1BAFE2D" w14:textId="77777777" w:rsidR="003E20DF" w:rsidRDefault="00F01A5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DB5D619" w14:textId="77777777" w:rsidR="003E20DF" w:rsidRDefault="00F01A5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3E33714" w14:textId="77777777" w:rsidR="003E20DF" w:rsidRDefault="00F01A5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EC4C45F" w14:textId="77777777" w:rsidR="003E20DF" w:rsidRDefault="00F01A5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DAE3CA4" w14:textId="77777777" w:rsidR="003E20DF" w:rsidRDefault="00F01A5C">
            <w:pPr>
              <w:keepNext/>
              <w:keepLines/>
              <w:spacing w:after="0" w:line="240" w:lineRule="auto"/>
              <w:jc w:val="center"/>
            </w:pPr>
            <w:r>
              <w:rPr>
                <w:b/>
                <w:sz w:val="18"/>
              </w:rPr>
              <w:t>Indeks (%)</w:t>
            </w:r>
          </w:p>
        </w:tc>
      </w:tr>
      <w:tr w:rsidR="003E20DF" w14:paraId="0C453207" w14:textId="77777777">
        <w:trPr>
          <w:cantSplit/>
          <w:trHeight w:val="560"/>
        </w:trPr>
        <w:tc>
          <w:tcPr>
            <w:tcW w:w="700" w:type="dxa"/>
            <w:tcMar>
              <w:top w:w="0" w:type="dxa"/>
              <w:bottom w:w="0" w:type="dxa"/>
            </w:tcMar>
            <w:vAlign w:val="center"/>
          </w:tcPr>
          <w:p w14:paraId="4761AD8C" w14:textId="77777777" w:rsidR="003E20DF" w:rsidRDefault="00F01A5C">
            <w:pPr>
              <w:keepNext/>
              <w:keepLines/>
              <w:spacing w:after="0" w:line="240" w:lineRule="auto"/>
            </w:pPr>
            <w:r>
              <w:rPr>
                <w:sz w:val="18"/>
              </w:rPr>
              <w:t>642</w:t>
            </w:r>
          </w:p>
        </w:tc>
        <w:tc>
          <w:tcPr>
            <w:tcW w:w="3180" w:type="dxa"/>
            <w:tcMar>
              <w:top w:w="0" w:type="dxa"/>
              <w:bottom w:w="0" w:type="dxa"/>
            </w:tcMar>
            <w:vAlign w:val="center"/>
          </w:tcPr>
          <w:p w14:paraId="094BAA41" w14:textId="77777777" w:rsidR="003E20DF" w:rsidRDefault="00F01A5C">
            <w:pPr>
              <w:keepNext/>
              <w:keepLines/>
              <w:spacing w:after="0" w:line="240" w:lineRule="auto"/>
            </w:pPr>
            <w:r>
              <w:rPr>
                <w:sz w:val="18"/>
              </w:rPr>
              <w:t>Prihodi od nefinancijske imovine (šifre 6421 do 6429)</w:t>
            </w:r>
          </w:p>
        </w:tc>
        <w:tc>
          <w:tcPr>
            <w:tcW w:w="700" w:type="dxa"/>
            <w:tcMar>
              <w:top w:w="0" w:type="dxa"/>
              <w:bottom w:w="0" w:type="dxa"/>
            </w:tcMar>
            <w:vAlign w:val="center"/>
          </w:tcPr>
          <w:p w14:paraId="36CF43A6" w14:textId="77777777" w:rsidR="003E20DF" w:rsidRDefault="00F01A5C">
            <w:pPr>
              <w:keepNext/>
              <w:keepLines/>
              <w:spacing w:after="0" w:line="240" w:lineRule="auto"/>
            </w:pPr>
            <w:r>
              <w:rPr>
                <w:sz w:val="18"/>
              </w:rPr>
              <w:t>642</w:t>
            </w:r>
          </w:p>
        </w:tc>
        <w:tc>
          <w:tcPr>
            <w:tcW w:w="1860" w:type="dxa"/>
            <w:tcMar>
              <w:top w:w="0" w:type="dxa"/>
              <w:bottom w:w="0" w:type="dxa"/>
            </w:tcMar>
            <w:vAlign w:val="center"/>
          </w:tcPr>
          <w:p w14:paraId="48630E72" w14:textId="77777777" w:rsidR="003E20DF" w:rsidRDefault="00F01A5C">
            <w:pPr>
              <w:keepNext/>
              <w:keepLines/>
              <w:spacing w:after="0" w:line="240" w:lineRule="auto"/>
              <w:jc w:val="right"/>
            </w:pPr>
            <w:r>
              <w:rPr>
                <w:sz w:val="18"/>
              </w:rPr>
              <w:t>3.023.790,08</w:t>
            </w:r>
          </w:p>
        </w:tc>
        <w:tc>
          <w:tcPr>
            <w:tcW w:w="1860" w:type="dxa"/>
            <w:tcMar>
              <w:top w:w="0" w:type="dxa"/>
              <w:bottom w:w="0" w:type="dxa"/>
            </w:tcMar>
            <w:vAlign w:val="center"/>
          </w:tcPr>
          <w:p w14:paraId="1B2E0EC6" w14:textId="77777777" w:rsidR="003E20DF" w:rsidRDefault="00F01A5C">
            <w:pPr>
              <w:keepNext/>
              <w:keepLines/>
              <w:spacing w:after="0" w:line="240" w:lineRule="auto"/>
              <w:jc w:val="right"/>
            </w:pPr>
            <w:r>
              <w:rPr>
                <w:sz w:val="18"/>
              </w:rPr>
              <w:t>2.660.025,24</w:t>
            </w:r>
          </w:p>
        </w:tc>
        <w:tc>
          <w:tcPr>
            <w:tcW w:w="700" w:type="dxa"/>
            <w:tcMar>
              <w:top w:w="0" w:type="dxa"/>
              <w:bottom w:w="0" w:type="dxa"/>
            </w:tcMar>
            <w:vAlign w:val="center"/>
          </w:tcPr>
          <w:p w14:paraId="50F96FDC" w14:textId="77777777" w:rsidR="003E20DF" w:rsidRDefault="00F01A5C">
            <w:pPr>
              <w:keepNext/>
              <w:keepLines/>
              <w:spacing w:after="0" w:line="240" w:lineRule="auto"/>
              <w:jc w:val="right"/>
            </w:pPr>
            <w:r>
              <w:rPr>
                <w:sz w:val="18"/>
              </w:rPr>
              <w:t>88,0</w:t>
            </w:r>
          </w:p>
        </w:tc>
      </w:tr>
    </w:tbl>
    <w:p w14:paraId="559CE79F" w14:textId="77777777" w:rsidR="003E20DF" w:rsidRDefault="003E20DF">
      <w:pPr>
        <w:spacing w:after="0"/>
      </w:pPr>
    </w:p>
    <w:p w14:paraId="7F6E97A0" w14:textId="77777777" w:rsidR="003E20DF" w:rsidRDefault="00F01A5C" w:rsidP="009564AA">
      <w:pPr>
        <w:ind w:firstLine="708"/>
        <w:jc w:val="both"/>
      </w:pPr>
      <w:r>
        <w:t>Prihodi s osnova zakupa i najmova manji su u odnosu na isto razdoblje prošle godine za 363.764,84 eura. </w:t>
      </w:r>
    </w:p>
    <w:p w14:paraId="50BBBF4C" w14:textId="77777777" w:rsidR="003E20DF" w:rsidRDefault="003E20DF"/>
    <w:p w14:paraId="4DA6AF49" w14:textId="77777777" w:rsidR="003E20DF" w:rsidRDefault="00F01A5C">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20DF" w14:paraId="56BE929D" w14:textId="77777777">
        <w:trPr>
          <w:cantSplit/>
        </w:trPr>
        <w:tc>
          <w:tcPr>
            <w:tcW w:w="700" w:type="dxa"/>
            <w:shd w:val="clear" w:color="auto" w:fill="E7F0F9"/>
            <w:tcMar>
              <w:top w:w="0" w:type="dxa"/>
              <w:bottom w:w="0" w:type="dxa"/>
            </w:tcMar>
            <w:vAlign w:val="center"/>
          </w:tcPr>
          <w:p w14:paraId="0E9F53D9" w14:textId="77777777" w:rsidR="003E20DF" w:rsidRDefault="00F01A5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1605485" w14:textId="77777777" w:rsidR="003E20DF" w:rsidRDefault="00F01A5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7973DFF" w14:textId="77777777" w:rsidR="003E20DF" w:rsidRDefault="00F01A5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03224A5" w14:textId="77777777" w:rsidR="003E20DF" w:rsidRDefault="00F01A5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EB4B2F1" w14:textId="77777777" w:rsidR="003E20DF" w:rsidRDefault="00F01A5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541C20F" w14:textId="77777777" w:rsidR="003E20DF" w:rsidRDefault="00F01A5C">
            <w:pPr>
              <w:keepNext/>
              <w:keepLines/>
              <w:spacing w:after="0" w:line="240" w:lineRule="auto"/>
              <w:jc w:val="center"/>
            </w:pPr>
            <w:r>
              <w:rPr>
                <w:b/>
                <w:sz w:val="18"/>
              </w:rPr>
              <w:t>Indeks (%)</w:t>
            </w:r>
          </w:p>
        </w:tc>
      </w:tr>
      <w:tr w:rsidR="003E20DF" w14:paraId="2279042C" w14:textId="77777777">
        <w:trPr>
          <w:cantSplit/>
          <w:trHeight w:val="560"/>
        </w:trPr>
        <w:tc>
          <w:tcPr>
            <w:tcW w:w="700" w:type="dxa"/>
            <w:tcMar>
              <w:top w:w="0" w:type="dxa"/>
              <w:bottom w:w="0" w:type="dxa"/>
            </w:tcMar>
            <w:vAlign w:val="center"/>
          </w:tcPr>
          <w:p w14:paraId="680B70B7" w14:textId="77777777" w:rsidR="003E20DF" w:rsidRDefault="00F01A5C">
            <w:pPr>
              <w:keepNext/>
              <w:keepLines/>
              <w:spacing w:after="0" w:line="240" w:lineRule="auto"/>
            </w:pPr>
            <w:r>
              <w:rPr>
                <w:sz w:val="18"/>
              </w:rPr>
              <w:t>6421</w:t>
            </w:r>
          </w:p>
        </w:tc>
        <w:tc>
          <w:tcPr>
            <w:tcW w:w="3180" w:type="dxa"/>
            <w:tcMar>
              <w:top w:w="0" w:type="dxa"/>
              <w:bottom w:w="0" w:type="dxa"/>
            </w:tcMar>
            <w:vAlign w:val="center"/>
          </w:tcPr>
          <w:p w14:paraId="19F01AF6" w14:textId="77777777" w:rsidR="003E20DF" w:rsidRDefault="00F01A5C">
            <w:pPr>
              <w:keepNext/>
              <w:keepLines/>
              <w:spacing w:after="0" w:line="240" w:lineRule="auto"/>
            </w:pPr>
            <w:r>
              <w:rPr>
                <w:sz w:val="18"/>
              </w:rPr>
              <w:t>Naknade za koncesije</w:t>
            </w:r>
          </w:p>
        </w:tc>
        <w:tc>
          <w:tcPr>
            <w:tcW w:w="700" w:type="dxa"/>
            <w:tcMar>
              <w:top w:w="0" w:type="dxa"/>
              <w:bottom w:w="0" w:type="dxa"/>
            </w:tcMar>
            <w:vAlign w:val="center"/>
          </w:tcPr>
          <w:p w14:paraId="2B471A39" w14:textId="77777777" w:rsidR="003E20DF" w:rsidRDefault="00F01A5C">
            <w:pPr>
              <w:keepNext/>
              <w:keepLines/>
              <w:spacing w:after="0" w:line="240" w:lineRule="auto"/>
            </w:pPr>
            <w:r>
              <w:rPr>
                <w:sz w:val="18"/>
              </w:rPr>
              <w:t>6421</w:t>
            </w:r>
          </w:p>
        </w:tc>
        <w:tc>
          <w:tcPr>
            <w:tcW w:w="1860" w:type="dxa"/>
            <w:tcMar>
              <w:top w:w="0" w:type="dxa"/>
              <w:bottom w:w="0" w:type="dxa"/>
            </w:tcMar>
            <w:vAlign w:val="center"/>
          </w:tcPr>
          <w:p w14:paraId="61C5C1CA" w14:textId="77777777" w:rsidR="003E20DF" w:rsidRDefault="00F01A5C">
            <w:pPr>
              <w:keepNext/>
              <w:keepLines/>
              <w:spacing w:after="0" w:line="240" w:lineRule="auto"/>
              <w:jc w:val="right"/>
            </w:pPr>
            <w:r>
              <w:rPr>
                <w:sz w:val="18"/>
              </w:rPr>
              <w:t>516.971,18</w:t>
            </w:r>
          </w:p>
        </w:tc>
        <w:tc>
          <w:tcPr>
            <w:tcW w:w="1860" w:type="dxa"/>
            <w:tcMar>
              <w:top w:w="0" w:type="dxa"/>
              <w:bottom w:w="0" w:type="dxa"/>
            </w:tcMar>
            <w:vAlign w:val="center"/>
          </w:tcPr>
          <w:p w14:paraId="7AA84E5A" w14:textId="77777777" w:rsidR="003E20DF" w:rsidRDefault="00F01A5C">
            <w:pPr>
              <w:keepNext/>
              <w:keepLines/>
              <w:spacing w:after="0" w:line="240" w:lineRule="auto"/>
              <w:jc w:val="right"/>
            </w:pPr>
            <w:r>
              <w:rPr>
                <w:sz w:val="18"/>
              </w:rPr>
              <w:t>146.934,15</w:t>
            </w:r>
          </w:p>
        </w:tc>
        <w:tc>
          <w:tcPr>
            <w:tcW w:w="700" w:type="dxa"/>
            <w:tcMar>
              <w:top w:w="0" w:type="dxa"/>
              <w:bottom w:w="0" w:type="dxa"/>
            </w:tcMar>
            <w:vAlign w:val="center"/>
          </w:tcPr>
          <w:p w14:paraId="25D2C915" w14:textId="77777777" w:rsidR="003E20DF" w:rsidRDefault="00F01A5C">
            <w:pPr>
              <w:keepNext/>
              <w:keepLines/>
              <w:spacing w:after="0" w:line="240" w:lineRule="auto"/>
              <w:jc w:val="right"/>
            </w:pPr>
            <w:r>
              <w:rPr>
                <w:sz w:val="18"/>
              </w:rPr>
              <w:t>28,4</w:t>
            </w:r>
          </w:p>
        </w:tc>
      </w:tr>
    </w:tbl>
    <w:p w14:paraId="17A1C1C9" w14:textId="77777777" w:rsidR="003E20DF" w:rsidRDefault="003E20DF">
      <w:pPr>
        <w:spacing w:after="0"/>
      </w:pPr>
    </w:p>
    <w:p w14:paraId="3393FF88" w14:textId="77777777" w:rsidR="003E20DF" w:rsidRDefault="00F01A5C" w:rsidP="009564AA">
      <w:pPr>
        <w:ind w:firstLine="708"/>
        <w:jc w:val="both"/>
      </w:pPr>
      <w:r>
        <w:t>Naknade za koncesije manje su u odnosu na prošlu godinu iz razloga što je tvrtki ELEKTROMODUL D.O.O. u 2025. godini istekao ugovor o koncesija sklopljen s Gradom Osijekom vezano za održavanje i naplatu parkiranja osobnih vozila. Za  organizaciju i naplatu parkiranja neće se raspisivati nova koncesija nego se isto  povjerava trgovačkom društvu u većinskom vlasništvu Grada Osijeka. U 2025. uplaćena je  koncesija za poljoprivredno zemljište i HEP-TOPLINARSTVO. </w:t>
      </w:r>
    </w:p>
    <w:p w14:paraId="4FBED122" w14:textId="77777777" w:rsidR="003E20DF" w:rsidRDefault="003E20DF"/>
    <w:p w14:paraId="6669DF30" w14:textId="77777777" w:rsidR="003E20DF" w:rsidRDefault="00F01A5C">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20DF" w14:paraId="5E055B2A" w14:textId="77777777">
        <w:trPr>
          <w:cantSplit/>
        </w:trPr>
        <w:tc>
          <w:tcPr>
            <w:tcW w:w="700" w:type="dxa"/>
            <w:shd w:val="clear" w:color="auto" w:fill="E7F0F9"/>
            <w:tcMar>
              <w:top w:w="0" w:type="dxa"/>
              <w:bottom w:w="0" w:type="dxa"/>
            </w:tcMar>
            <w:vAlign w:val="center"/>
          </w:tcPr>
          <w:p w14:paraId="06A42C7A" w14:textId="77777777" w:rsidR="003E20DF" w:rsidRDefault="00F01A5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34AF758" w14:textId="77777777" w:rsidR="003E20DF" w:rsidRDefault="00F01A5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DFFDF8F" w14:textId="77777777" w:rsidR="003E20DF" w:rsidRDefault="00F01A5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C303CB3" w14:textId="77777777" w:rsidR="003E20DF" w:rsidRDefault="00F01A5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195915F" w14:textId="77777777" w:rsidR="003E20DF" w:rsidRDefault="00F01A5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1F6A42F" w14:textId="77777777" w:rsidR="003E20DF" w:rsidRDefault="00F01A5C">
            <w:pPr>
              <w:keepNext/>
              <w:keepLines/>
              <w:spacing w:after="0" w:line="240" w:lineRule="auto"/>
              <w:jc w:val="center"/>
            </w:pPr>
            <w:r>
              <w:rPr>
                <w:b/>
                <w:sz w:val="18"/>
              </w:rPr>
              <w:t>Indeks (%)</w:t>
            </w:r>
          </w:p>
        </w:tc>
      </w:tr>
      <w:tr w:rsidR="003E20DF" w14:paraId="39F6DE39" w14:textId="77777777">
        <w:trPr>
          <w:cantSplit/>
          <w:trHeight w:val="560"/>
        </w:trPr>
        <w:tc>
          <w:tcPr>
            <w:tcW w:w="700" w:type="dxa"/>
            <w:tcMar>
              <w:top w:w="0" w:type="dxa"/>
              <w:bottom w:w="0" w:type="dxa"/>
            </w:tcMar>
            <w:vAlign w:val="center"/>
          </w:tcPr>
          <w:p w14:paraId="0E874E06" w14:textId="77777777" w:rsidR="003E20DF" w:rsidRDefault="00F01A5C">
            <w:pPr>
              <w:keepNext/>
              <w:keepLines/>
              <w:spacing w:after="0" w:line="240" w:lineRule="auto"/>
            </w:pPr>
            <w:r>
              <w:rPr>
                <w:sz w:val="18"/>
              </w:rPr>
              <w:t>6512</w:t>
            </w:r>
          </w:p>
        </w:tc>
        <w:tc>
          <w:tcPr>
            <w:tcW w:w="3180" w:type="dxa"/>
            <w:tcMar>
              <w:top w:w="0" w:type="dxa"/>
              <w:bottom w:w="0" w:type="dxa"/>
            </w:tcMar>
            <w:vAlign w:val="center"/>
          </w:tcPr>
          <w:p w14:paraId="77C90801" w14:textId="77777777" w:rsidR="003E20DF" w:rsidRDefault="00F01A5C">
            <w:pPr>
              <w:keepNext/>
              <w:keepLines/>
              <w:spacing w:after="0" w:line="240" w:lineRule="auto"/>
            </w:pPr>
            <w:r>
              <w:rPr>
                <w:sz w:val="18"/>
              </w:rPr>
              <w:t>Županijske, gradske i općinske pristojbe i naknade</w:t>
            </w:r>
          </w:p>
        </w:tc>
        <w:tc>
          <w:tcPr>
            <w:tcW w:w="700" w:type="dxa"/>
            <w:tcMar>
              <w:top w:w="0" w:type="dxa"/>
              <w:bottom w:w="0" w:type="dxa"/>
            </w:tcMar>
            <w:vAlign w:val="center"/>
          </w:tcPr>
          <w:p w14:paraId="764507AB" w14:textId="77777777" w:rsidR="003E20DF" w:rsidRDefault="00F01A5C">
            <w:pPr>
              <w:keepNext/>
              <w:keepLines/>
              <w:spacing w:after="0" w:line="240" w:lineRule="auto"/>
            </w:pPr>
            <w:r>
              <w:rPr>
                <w:sz w:val="18"/>
              </w:rPr>
              <w:t>6512</w:t>
            </w:r>
          </w:p>
        </w:tc>
        <w:tc>
          <w:tcPr>
            <w:tcW w:w="1860" w:type="dxa"/>
            <w:tcMar>
              <w:top w:w="0" w:type="dxa"/>
              <w:bottom w:w="0" w:type="dxa"/>
            </w:tcMar>
            <w:vAlign w:val="center"/>
          </w:tcPr>
          <w:p w14:paraId="51442E52" w14:textId="77777777" w:rsidR="003E20DF" w:rsidRDefault="00F01A5C">
            <w:pPr>
              <w:keepNext/>
              <w:keepLines/>
              <w:spacing w:after="0" w:line="240" w:lineRule="auto"/>
              <w:jc w:val="right"/>
            </w:pPr>
            <w:r>
              <w:rPr>
                <w:sz w:val="18"/>
              </w:rPr>
              <w:t>365.372,49</w:t>
            </w:r>
          </w:p>
        </w:tc>
        <w:tc>
          <w:tcPr>
            <w:tcW w:w="1860" w:type="dxa"/>
            <w:tcMar>
              <w:top w:w="0" w:type="dxa"/>
              <w:bottom w:w="0" w:type="dxa"/>
            </w:tcMar>
            <w:vAlign w:val="center"/>
          </w:tcPr>
          <w:p w14:paraId="3FB1DBBA" w14:textId="77777777" w:rsidR="003E20DF" w:rsidRDefault="00F01A5C">
            <w:pPr>
              <w:keepNext/>
              <w:keepLines/>
              <w:spacing w:after="0" w:line="240" w:lineRule="auto"/>
              <w:jc w:val="right"/>
            </w:pPr>
            <w:r>
              <w:rPr>
                <w:sz w:val="18"/>
              </w:rPr>
              <w:t>226.431,60</w:t>
            </w:r>
          </w:p>
        </w:tc>
        <w:tc>
          <w:tcPr>
            <w:tcW w:w="700" w:type="dxa"/>
            <w:tcMar>
              <w:top w:w="0" w:type="dxa"/>
              <w:bottom w:w="0" w:type="dxa"/>
            </w:tcMar>
            <w:vAlign w:val="center"/>
          </w:tcPr>
          <w:p w14:paraId="2547438A" w14:textId="77777777" w:rsidR="003E20DF" w:rsidRDefault="00F01A5C">
            <w:pPr>
              <w:keepNext/>
              <w:keepLines/>
              <w:spacing w:after="0" w:line="240" w:lineRule="auto"/>
              <w:jc w:val="right"/>
            </w:pPr>
            <w:r>
              <w:rPr>
                <w:sz w:val="18"/>
              </w:rPr>
              <w:t>62,0</w:t>
            </w:r>
          </w:p>
        </w:tc>
      </w:tr>
    </w:tbl>
    <w:p w14:paraId="4EB8096C" w14:textId="77777777" w:rsidR="003E20DF" w:rsidRDefault="003E20DF">
      <w:pPr>
        <w:spacing w:after="0"/>
      </w:pPr>
    </w:p>
    <w:p w14:paraId="054E507A" w14:textId="39EA2DE2" w:rsidR="003E20DF" w:rsidRDefault="00F01A5C" w:rsidP="009564AA">
      <w:pPr>
        <w:ind w:firstLine="708"/>
        <w:jc w:val="both"/>
      </w:pPr>
      <w:r>
        <w:t>Manja naplata prihoda u iznosu od 138.940,89 eura  vezana je za ostvarenje naknade za pravo građenja te naplaćene gradske pristojbe</w:t>
      </w:r>
      <w:r w:rsidR="00B20751">
        <w:t>.</w:t>
      </w:r>
    </w:p>
    <w:p w14:paraId="2871FC70" w14:textId="77777777" w:rsidR="003E20DF" w:rsidRDefault="003E20DF"/>
    <w:p w14:paraId="37EE1D4B" w14:textId="77777777" w:rsidR="003E20DF" w:rsidRDefault="00F01A5C">
      <w:pPr>
        <w:keepNext/>
        <w:spacing w:line="240" w:lineRule="auto"/>
        <w:jc w:val="center"/>
      </w:pPr>
      <w:r>
        <w:rPr>
          <w:sz w:val="28"/>
        </w:rPr>
        <w:t>Bilješka 14.</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20DF" w14:paraId="63404B2A" w14:textId="77777777">
        <w:trPr>
          <w:cantSplit/>
        </w:trPr>
        <w:tc>
          <w:tcPr>
            <w:tcW w:w="700" w:type="dxa"/>
            <w:shd w:val="clear" w:color="auto" w:fill="E7F0F9"/>
            <w:tcMar>
              <w:top w:w="0" w:type="dxa"/>
              <w:bottom w:w="0" w:type="dxa"/>
            </w:tcMar>
            <w:vAlign w:val="center"/>
          </w:tcPr>
          <w:p w14:paraId="44E6A076" w14:textId="77777777" w:rsidR="003E20DF" w:rsidRDefault="00F01A5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EA69D04" w14:textId="77777777" w:rsidR="003E20DF" w:rsidRDefault="00F01A5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8E28D9A" w14:textId="77777777" w:rsidR="003E20DF" w:rsidRDefault="00F01A5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65F1D0B" w14:textId="77777777" w:rsidR="003E20DF" w:rsidRDefault="00F01A5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9EA0F80" w14:textId="77777777" w:rsidR="003E20DF" w:rsidRDefault="00F01A5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3619FE7" w14:textId="77777777" w:rsidR="003E20DF" w:rsidRDefault="00F01A5C">
            <w:pPr>
              <w:keepNext/>
              <w:keepLines/>
              <w:spacing w:after="0" w:line="240" w:lineRule="auto"/>
              <w:jc w:val="center"/>
            </w:pPr>
            <w:r>
              <w:rPr>
                <w:b/>
                <w:sz w:val="18"/>
              </w:rPr>
              <w:t>Indeks (%)</w:t>
            </w:r>
          </w:p>
        </w:tc>
      </w:tr>
      <w:tr w:rsidR="003E20DF" w14:paraId="79BFCB7A" w14:textId="77777777">
        <w:trPr>
          <w:cantSplit/>
          <w:trHeight w:val="560"/>
        </w:trPr>
        <w:tc>
          <w:tcPr>
            <w:tcW w:w="700" w:type="dxa"/>
            <w:tcMar>
              <w:top w:w="0" w:type="dxa"/>
              <w:bottom w:w="0" w:type="dxa"/>
            </w:tcMar>
            <w:vAlign w:val="center"/>
          </w:tcPr>
          <w:p w14:paraId="349079D4" w14:textId="77777777" w:rsidR="003E20DF" w:rsidRDefault="00F01A5C">
            <w:pPr>
              <w:keepNext/>
              <w:keepLines/>
              <w:spacing w:after="0" w:line="240" w:lineRule="auto"/>
            </w:pPr>
            <w:r>
              <w:rPr>
                <w:sz w:val="18"/>
              </w:rPr>
              <w:t>6513</w:t>
            </w:r>
          </w:p>
        </w:tc>
        <w:tc>
          <w:tcPr>
            <w:tcW w:w="3180" w:type="dxa"/>
            <w:tcMar>
              <w:top w:w="0" w:type="dxa"/>
              <w:bottom w:w="0" w:type="dxa"/>
            </w:tcMar>
            <w:vAlign w:val="center"/>
          </w:tcPr>
          <w:p w14:paraId="259E7F40" w14:textId="77777777" w:rsidR="003E20DF" w:rsidRDefault="00F01A5C">
            <w:pPr>
              <w:keepNext/>
              <w:keepLines/>
              <w:spacing w:after="0" w:line="240" w:lineRule="auto"/>
            </w:pPr>
            <w:r>
              <w:rPr>
                <w:sz w:val="18"/>
              </w:rPr>
              <w:t>Ostale upravne pristojbe i naknade</w:t>
            </w:r>
          </w:p>
        </w:tc>
        <w:tc>
          <w:tcPr>
            <w:tcW w:w="700" w:type="dxa"/>
            <w:tcMar>
              <w:top w:w="0" w:type="dxa"/>
              <w:bottom w:w="0" w:type="dxa"/>
            </w:tcMar>
            <w:vAlign w:val="center"/>
          </w:tcPr>
          <w:p w14:paraId="4C848DCB" w14:textId="77777777" w:rsidR="003E20DF" w:rsidRDefault="00F01A5C">
            <w:pPr>
              <w:keepNext/>
              <w:keepLines/>
              <w:spacing w:after="0" w:line="240" w:lineRule="auto"/>
            </w:pPr>
            <w:r>
              <w:rPr>
                <w:sz w:val="18"/>
              </w:rPr>
              <w:t>6513</w:t>
            </w:r>
          </w:p>
        </w:tc>
        <w:tc>
          <w:tcPr>
            <w:tcW w:w="1860" w:type="dxa"/>
            <w:tcMar>
              <w:top w:w="0" w:type="dxa"/>
              <w:bottom w:w="0" w:type="dxa"/>
            </w:tcMar>
            <w:vAlign w:val="center"/>
          </w:tcPr>
          <w:p w14:paraId="144092E5" w14:textId="77777777" w:rsidR="003E20DF" w:rsidRDefault="00F01A5C">
            <w:pPr>
              <w:keepNext/>
              <w:keepLines/>
              <w:spacing w:after="0" w:line="240" w:lineRule="auto"/>
              <w:jc w:val="right"/>
            </w:pPr>
            <w:r>
              <w:rPr>
                <w:sz w:val="18"/>
              </w:rPr>
              <w:t>29.874,84</w:t>
            </w:r>
          </w:p>
        </w:tc>
        <w:tc>
          <w:tcPr>
            <w:tcW w:w="1860" w:type="dxa"/>
            <w:tcMar>
              <w:top w:w="0" w:type="dxa"/>
              <w:bottom w:w="0" w:type="dxa"/>
            </w:tcMar>
            <w:vAlign w:val="center"/>
          </w:tcPr>
          <w:p w14:paraId="0C500F1F" w14:textId="77777777" w:rsidR="003E20DF" w:rsidRDefault="00F01A5C">
            <w:pPr>
              <w:keepNext/>
              <w:keepLines/>
              <w:spacing w:after="0" w:line="240" w:lineRule="auto"/>
              <w:jc w:val="right"/>
            </w:pPr>
            <w:r>
              <w:rPr>
                <w:sz w:val="18"/>
              </w:rPr>
              <w:t>9.520,59</w:t>
            </w:r>
          </w:p>
        </w:tc>
        <w:tc>
          <w:tcPr>
            <w:tcW w:w="700" w:type="dxa"/>
            <w:tcMar>
              <w:top w:w="0" w:type="dxa"/>
              <w:bottom w:w="0" w:type="dxa"/>
            </w:tcMar>
            <w:vAlign w:val="center"/>
          </w:tcPr>
          <w:p w14:paraId="7660C704" w14:textId="77777777" w:rsidR="003E20DF" w:rsidRDefault="00F01A5C">
            <w:pPr>
              <w:keepNext/>
              <w:keepLines/>
              <w:spacing w:after="0" w:line="240" w:lineRule="auto"/>
              <w:jc w:val="right"/>
            </w:pPr>
            <w:r>
              <w:rPr>
                <w:sz w:val="18"/>
              </w:rPr>
              <w:t>31,9</w:t>
            </w:r>
          </w:p>
        </w:tc>
      </w:tr>
    </w:tbl>
    <w:p w14:paraId="4DEDFE3B" w14:textId="77777777" w:rsidR="003E20DF" w:rsidRDefault="003E20DF">
      <w:pPr>
        <w:spacing w:after="0"/>
      </w:pPr>
    </w:p>
    <w:p w14:paraId="3E3F0177" w14:textId="77777777" w:rsidR="003E20DF" w:rsidRDefault="00F01A5C">
      <w:r>
        <w:t>U odnosu na prošlu godinu upravne pristojbe i naknade su manje za 20.354,25 eura</w:t>
      </w:r>
    </w:p>
    <w:p w14:paraId="1227F884" w14:textId="77777777" w:rsidR="003E20DF" w:rsidRDefault="003E20DF"/>
    <w:p w14:paraId="2275A1F8" w14:textId="77777777" w:rsidR="003E20DF" w:rsidRDefault="00F01A5C">
      <w:pPr>
        <w:keepNext/>
        <w:spacing w:line="240" w:lineRule="auto"/>
        <w:jc w:val="center"/>
      </w:pPr>
      <w:r>
        <w:rPr>
          <w:sz w:val="28"/>
        </w:rPr>
        <w:t>Bilješka 15.</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20DF" w14:paraId="2CF54283" w14:textId="77777777">
        <w:trPr>
          <w:cantSplit/>
        </w:trPr>
        <w:tc>
          <w:tcPr>
            <w:tcW w:w="700" w:type="dxa"/>
            <w:shd w:val="clear" w:color="auto" w:fill="E7F0F9"/>
            <w:tcMar>
              <w:top w:w="0" w:type="dxa"/>
              <w:bottom w:w="0" w:type="dxa"/>
            </w:tcMar>
            <w:vAlign w:val="center"/>
          </w:tcPr>
          <w:p w14:paraId="15D35B8C" w14:textId="77777777" w:rsidR="003E20DF" w:rsidRDefault="00F01A5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86BC307" w14:textId="77777777" w:rsidR="003E20DF" w:rsidRDefault="00F01A5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925D417" w14:textId="77777777" w:rsidR="003E20DF" w:rsidRDefault="00F01A5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B462317" w14:textId="77777777" w:rsidR="003E20DF" w:rsidRDefault="00F01A5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CBCEDB1" w14:textId="77777777" w:rsidR="003E20DF" w:rsidRDefault="00F01A5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6F76BF5" w14:textId="77777777" w:rsidR="003E20DF" w:rsidRDefault="00F01A5C">
            <w:pPr>
              <w:keepNext/>
              <w:keepLines/>
              <w:spacing w:after="0" w:line="240" w:lineRule="auto"/>
              <w:jc w:val="center"/>
            </w:pPr>
            <w:r>
              <w:rPr>
                <w:b/>
                <w:sz w:val="18"/>
              </w:rPr>
              <w:t>Indeks (%)</w:t>
            </w:r>
          </w:p>
        </w:tc>
      </w:tr>
      <w:tr w:rsidR="003E20DF" w14:paraId="44172B94" w14:textId="77777777">
        <w:trPr>
          <w:cantSplit/>
          <w:trHeight w:val="560"/>
        </w:trPr>
        <w:tc>
          <w:tcPr>
            <w:tcW w:w="700" w:type="dxa"/>
            <w:tcMar>
              <w:top w:w="0" w:type="dxa"/>
              <w:bottom w:w="0" w:type="dxa"/>
            </w:tcMar>
            <w:vAlign w:val="center"/>
          </w:tcPr>
          <w:p w14:paraId="58057162" w14:textId="77777777" w:rsidR="003E20DF" w:rsidRDefault="00F01A5C">
            <w:pPr>
              <w:keepNext/>
              <w:keepLines/>
              <w:spacing w:after="0" w:line="240" w:lineRule="auto"/>
            </w:pPr>
            <w:r>
              <w:rPr>
                <w:sz w:val="18"/>
              </w:rPr>
              <w:t>6522</w:t>
            </w:r>
          </w:p>
        </w:tc>
        <w:tc>
          <w:tcPr>
            <w:tcW w:w="3180" w:type="dxa"/>
            <w:tcMar>
              <w:top w:w="0" w:type="dxa"/>
              <w:bottom w:w="0" w:type="dxa"/>
            </w:tcMar>
            <w:vAlign w:val="center"/>
          </w:tcPr>
          <w:p w14:paraId="63DB959D" w14:textId="77777777" w:rsidR="003E20DF" w:rsidRDefault="00F01A5C">
            <w:pPr>
              <w:keepNext/>
              <w:keepLines/>
              <w:spacing w:after="0" w:line="240" w:lineRule="auto"/>
            </w:pPr>
            <w:r>
              <w:rPr>
                <w:sz w:val="18"/>
              </w:rPr>
              <w:t>Prihodi vodnog gospodarstva</w:t>
            </w:r>
          </w:p>
        </w:tc>
        <w:tc>
          <w:tcPr>
            <w:tcW w:w="700" w:type="dxa"/>
            <w:tcMar>
              <w:top w:w="0" w:type="dxa"/>
              <w:bottom w:w="0" w:type="dxa"/>
            </w:tcMar>
            <w:vAlign w:val="center"/>
          </w:tcPr>
          <w:p w14:paraId="7A07A024" w14:textId="77777777" w:rsidR="003E20DF" w:rsidRDefault="00F01A5C">
            <w:pPr>
              <w:keepNext/>
              <w:keepLines/>
              <w:spacing w:after="0" w:line="240" w:lineRule="auto"/>
            </w:pPr>
            <w:r>
              <w:rPr>
                <w:sz w:val="18"/>
              </w:rPr>
              <w:t>6522</w:t>
            </w:r>
          </w:p>
        </w:tc>
        <w:tc>
          <w:tcPr>
            <w:tcW w:w="1860" w:type="dxa"/>
            <w:tcMar>
              <w:top w:w="0" w:type="dxa"/>
              <w:bottom w:w="0" w:type="dxa"/>
            </w:tcMar>
            <w:vAlign w:val="center"/>
          </w:tcPr>
          <w:p w14:paraId="11978BCD" w14:textId="77777777" w:rsidR="003E20DF" w:rsidRDefault="00F01A5C">
            <w:pPr>
              <w:keepNext/>
              <w:keepLines/>
              <w:spacing w:after="0" w:line="240" w:lineRule="auto"/>
              <w:jc w:val="right"/>
            </w:pPr>
            <w:r>
              <w:rPr>
                <w:sz w:val="18"/>
              </w:rPr>
              <w:t>15.006,12</w:t>
            </w:r>
          </w:p>
        </w:tc>
        <w:tc>
          <w:tcPr>
            <w:tcW w:w="1860" w:type="dxa"/>
            <w:tcMar>
              <w:top w:w="0" w:type="dxa"/>
              <w:bottom w:w="0" w:type="dxa"/>
            </w:tcMar>
            <w:vAlign w:val="center"/>
          </w:tcPr>
          <w:p w14:paraId="7DDB01B9" w14:textId="77777777" w:rsidR="003E20DF" w:rsidRDefault="00F01A5C">
            <w:pPr>
              <w:keepNext/>
              <w:keepLines/>
              <w:spacing w:after="0" w:line="240" w:lineRule="auto"/>
              <w:jc w:val="right"/>
            </w:pPr>
            <w:r>
              <w:rPr>
                <w:sz w:val="18"/>
              </w:rPr>
              <w:t>2.370,78</w:t>
            </w:r>
          </w:p>
        </w:tc>
        <w:tc>
          <w:tcPr>
            <w:tcW w:w="700" w:type="dxa"/>
            <w:tcMar>
              <w:top w:w="0" w:type="dxa"/>
              <w:bottom w:w="0" w:type="dxa"/>
            </w:tcMar>
            <w:vAlign w:val="center"/>
          </w:tcPr>
          <w:p w14:paraId="55DE16A2" w14:textId="77777777" w:rsidR="003E20DF" w:rsidRDefault="00F01A5C">
            <w:pPr>
              <w:keepNext/>
              <w:keepLines/>
              <w:spacing w:after="0" w:line="240" w:lineRule="auto"/>
              <w:jc w:val="right"/>
            </w:pPr>
            <w:r>
              <w:rPr>
                <w:sz w:val="18"/>
              </w:rPr>
              <w:t>15,8</w:t>
            </w:r>
          </w:p>
        </w:tc>
      </w:tr>
    </w:tbl>
    <w:p w14:paraId="47EFA7BA" w14:textId="77777777" w:rsidR="003E20DF" w:rsidRDefault="003E20DF">
      <w:pPr>
        <w:spacing w:after="0"/>
      </w:pPr>
    </w:p>
    <w:p w14:paraId="5002780A" w14:textId="67EEFD3B" w:rsidR="003E20DF" w:rsidRDefault="00F01A5C" w:rsidP="009564AA">
      <w:pPr>
        <w:ind w:firstLine="708"/>
        <w:jc w:val="both"/>
      </w:pPr>
      <w:r>
        <w:t>Manja naplata u okviru ovih prihoda rezultat je zakonskog ukidanja obračuna vodnog doprinosa, naplaćeni iznos predstavlja obvezu iz prethodnih godina</w:t>
      </w:r>
      <w:r w:rsidR="00B20751">
        <w:t>.</w:t>
      </w:r>
    </w:p>
    <w:p w14:paraId="09C3FFF0" w14:textId="77777777" w:rsidR="003E20DF" w:rsidRDefault="003E20DF"/>
    <w:p w14:paraId="3F3E47AB" w14:textId="77777777" w:rsidR="003E20DF" w:rsidRDefault="00F01A5C">
      <w:pPr>
        <w:keepNext/>
        <w:spacing w:line="240" w:lineRule="auto"/>
        <w:jc w:val="center"/>
      </w:pPr>
      <w:r>
        <w:rPr>
          <w:sz w:val="28"/>
        </w:rPr>
        <w:t>Bilješka 16.</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20DF" w14:paraId="5E1DF894" w14:textId="77777777">
        <w:trPr>
          <w:cantSplit/>
        </w:trPr>
        <w:tc>
          <w:tcPr>
            <w:tcW w:w="700" w:type="dxa"/>
            <w:shd w:val="clear" w:color="auto" w:fill="E7F0F9"/>
            <w:tcMar>
              <w:top w:w="0" w:type="dxa"/>
              <w:bottom w:w="0" w:type="dxa"/>
            </w:tcMar>
            <w:vAlign w:val="center"/>
          </w:tcPr>
          <w:p w14:paraId="53504EC6" w14:textId="77777777" w:rsidR="003E20DF" w:rsidRDefault="00F01A5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AEAF219" w14:textId="77777777" w:rsidR="003E20DF" w:rsidRDefault="00F01A5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2567FB3" w14:textId="77777777" w:rsidR="003E20DF" w:rsidRDefault="00F01A5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B6DCEF8" w14:textId="77777777" w:rsidR="003E20DF" w:rsidRDefault="00F01A5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EA9CADE" w14:textId="77777777" w:rsidR="003E20DF" w:rsidRDefault="00F01A5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2D8B17D" w14:textId="77777777" w:rsidR="003E20DF" w:rsidRDefault="00F01A5C">
            <w:pPr>
              <w:keepNext/>
              <w:keepLines/>
              <w:spacing w:after="0" w:line="240" w:lineRule="auto"/>
              <w:jc w:val="center"/>
            </w:pPr>
            <w:r>
              <w:rPr>
                <w:b/>
                <w:sz w:val="18"/>
              </w:rPr>
              <w:t>Indeks (%)</w:t>
            </w:r>
          </w:p>
        </w:tc>
      </w:tr>
      <w:tr w:rsidR="003E20DF" w14:paraId="0B74C7BF" w14:textId="77777777">
        <w:trPr>
          <w:cantSplit/>
          <w:trHeight w:val="560"/>
        </w:trPr>
        <w:tc>
          <w:tcPr>
            <w:tcW w:w="700" w:type="dxa"/>
            <w:tcMar>
              <w:top w:w="0" w:type="dxa"/>
              <w:bottom w:w="0" w:type="dxa"/>
            </w:tcMar>
            <w:vAlign w:val="center"/>
          </w:tcPr>
          <w:p w14:paraId="3ED61C62" w14:textId="77777777" w:rsidR="003E20DF" w:rsidRDefault="00F01A5C">
            <w:pPr>
              <w:keepNext/>
              <w:keepLines/>
              <w:spacing w:after="0" w:line="240" w:lineRule="auto"/>
            </w:pPr>
            <w:r>
              <w:rPr>
                <w:sz w:val="18"/>
              </w:rPr>
              <w:t>653</w:t>
            </w:r>
          </w:p>
        </w:tc>
        <w:tc>
          <w:tcPr>
            <w:tcW w:w="3180" w:type="dxa"/>
            <w:tcMar>
              <w:top w:w="0" w:type="dxa"/>
              <w:bottom w:w="0" w:type="dxa"/>
            </w:tcMar>
            <w:vAlign w:val="center"/>
          </w:tcPr>
          <w:p w14:paraId="370BB48B" w14:textId="77777777" w:rsidR="003E20DF" w:rsidRDefault="00F01A5C">
            <w:pPr>
              <w:keepNext/>
              <w:keepLines/>
              <w:spacing w:after="0" w:line="240" w:lineRule="auto"/>
            </w:pPr>
            <w:r>
              <w:rPr>
                <w:sz w:val="18"/>
              </w:rPr>
              <w:t>Komunalni doprinosi i naknade (šifre 6531 do 6533)</w:t>
            </w:r>
          </w:p>
        </w:tc>
        <w:tc>
          <w:tcPr>
            <w:tcW w:w="700" w:type="dxa"/>
            <w:tcMar>
              <w:top w:w="0" w:type="dxa"/>
              <w:bottom w:w="0" w:type="dxa"/>
            </w:tcMar>
            <w:vAlign w:val="center"/>
          </w:tcPr>
          <w:p w14:paraId="571A0346" w14:textId="77777777" w:rsidR="003E20DF" w:rsidRDefault="00F01A5C">
            <w:pPr>
              <w:keepNext/>
              <w:keepLines/>
              <w:spacing w:after="0" w:line="240" w:lineRule="auto"/>
            </w:pPr>
            <w:r>
              <w:rPr>
                <w:sz w:val="18"/>
              </w:rPr>
              <w:t>653</w:t>
            </w:r>
          </w:p>
        </w:tc>
        <w:tc>
          <w:tcPr>
            <w:tcW w:w="1860" w:type="dxa"/>
            <w:tcMar>
              <w:top w:w="0" w:type="dxa"/>
              <w:bottom w:w="0" w:type="dxa"/>
            </w:tcMar>
            <w:vAlign w:val="center"/>
          </w:tcPr>
          <w:p w14:paraId="1BFC78E9" w14:textId="77777777" w:rsidR="003E20DF" w:rsidRDefault="00F01A5C">
            <w:pPr>
              <w:keepNext/>
              <w:keepLines/>
              <w:spacing w:after="0" w:line="240" w:lineRule="auto"/>
              <w:jc w:val="right"/>
            </w:pPr>
            <w:r>
              <w:rPr>
                <w:sz w:val="18"/>
              </w:rPr>
              <w:t>10.541.967,75</w:t>
            </w:r>
          </w:p>
        </w:tc>
        <w:tc>
          <w:tcPr>
            <w:tcW w:w="1860" w:type="dxa"/>
            <w:tcMar>
              <w:top w:w="0" w:type="dxa"/>
              <w:bottom w:w="0" w:type="dxa"/>
            </w:tcMar>
            <w:vAlign w:val="center"/>
          </w:tcPr>
          <w:p w14:paraId="3FB74C60" w14:textId="77777777" w:rsidR="003E20DF" w:rsidRDefault="00F01A5C">
            <w:pPr>
              <w:keepNext/>
              <w:keepLines/>
              <w:spacing w:after="0" w:line="240" w:lineRule="auto"/>
              <w:jc w:val="right"/>
            </w:pPr>
            <w:r>
              <w:rPr>
                <w:sz w:val="18"/>
              </w:rPr>
              <w:t>10.058.974,83</w:t>
            </w:r>
          </w:p>
        </w:tc>
        <w:tc>
          <w:tcPr>
            <w:tcW w:w="700" w:type="dxa"/>
            <w:tcMar>
              <w:top w:w="0" w:type="dxa"/>
              <w:bottom w:w="0" w:type="dxa"/>
            </w:tcMar>
            <w:vAlign w:val="center"/>
          </w:tcPr>
          <w:p w14:paraId="75F9CE85" w14:textId="77777777" w:rsidR="003E20DF" w:rsidRDefault="00F01A5C">
            <w:pPr>
              <w:keepNext/>
              <w:keepLines/>
              <w:spacing w:after="0" w:line="240" w:lineRule="auto"/>
              <w:jc w:val="right"/>
            </w:pPr>
            <w:r>
              <w:rPr>
                <w:sz w:val="18"/>
              </w:rPr>
              <w:t>95,4</w:t>
            </w:r>
          </w:p>
        </w:tc>
      </w:tr>
    </w:tbl>
    <w:p w14:paraId="1A1F8E94" w14:textId="77777777" w:rsidR="003E20DF" w:rsidRDefault="003E20DF">
      <w:pPr>
        <w:spacing w:after="0"/>
      </w:pPr>
    </w:p>
    <w:p w14:paraId="47AD9357" w14:textId="77777777" w:rsidR="003E20DF" w:rsidRDefault="00F01A5C" w:rsidP="009564AA">
      <w:pPr>
        <w:ind w:firstLine="708"/>
        <w:jc w:val="both"/>
      </w:pPr>
      <w:r>
        <w:t>U okviru ove šifre u odnosu na isto razdoblje prethodne godine vidljiv je pad naplate komunalnog doprinosa uslijed manjeg broja izdanih rješenja, dok je naplata komunalne naknade veća nego u istom razdoblju prethodne godine kao rezultat poduzetih mjera naplate.</w:t>
      </w:r>
    </w:p>
    <w:p w14:paraId="68FA46B2" w14:textId="77777777" w:rsidR="003E20DF" w:rsidRDefault="003E20DF"/>
    <w:p w14:paraId="64770F8D" w14:textId="77777777" w:rsidR="003E20DF" w:rsidRDefault="00F01A5C">
      <w:pPr>
        <w:keepNext/>
        <w:spacing w:line="240" w:lineRule="auto"/>
        <w:jc w:val="center"/>
      </w:pPr>
      <w:r>
        <w:rPr>
          <w:sz w:val="28"/>
        </w:rPr>
        <w:t>Bilješka 17.</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20DF" w14:paraId="01539E53" w14:textId="77777777">
        <w:trPr>
          <w:cantSplit/>
        </w:trPr>
        <w:tc>
          <w:tcPr>
            <w:tcW w:w="700" w:type="dxa"/>
            <w:shd w:val="clear" w:color="auto" w:fill="E7F0F9"/>
            <w:tcMar>
              <w:top w:w="0" w:type="dxa"/>
              <w:bottom w:w="0" w:type="dxa"/>
            </w:tcMar>
            <w:vAlign w:val="center"/>
          </w:tcPr>
          <w:p w14:paraId="469C7BD9" w14:textId="77777777" w:rsidR="003E20DF" w:rsidRDefault="00F01A5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C4815AF" w14:textId="77777777" w:rsidR="003E20DF" w:rsidRDefault="00F01A5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474E351" w14:textId="77777777" w:rsidR="003E20DF" w:rsidRDefault="00F01A5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341874C" w14:textId="77777777" w:rsidR="003E20DF" w:rsidRDefault="00F01A5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3F0459A" w14:textId="77777777" w:rsidR="003E20DF" w:rsidRDefault="00F01A5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3AAFA5C" w14:textId="77777777" w:rsidR="003E20DF" w:rsidRDefault="00F01A5C">
            <w:pPr>
              <w:keepNext/>
              <w:keepLines/>
              <w:spacing w:after="0" w:line="240" w:lineRule="auto"/>
              <w:jc w:val="center"/>
            </w:pPr>
            <w:r>
              <w:rPr>
                <w:b/>
                <w:sz w:val="18"/>
              </w:rPr>
              <w:t>Indeks (%)</w:t>
            </w:r>
          </w:p>
        </w:tc>
      </w:tr>
      <w:tr w:rsidR="003E20DF" w14:paraId="38DCF1BE" w14:textId="77777777">
        <w:trPr>
          <w:cantSplit/>
          <w:trHeight w:val="560"/>
        </w:trPr>
        <w:tc>
          <w:tcPr>
            <w:tcW w:w="700" w:type="dxa"/>
            <w:tcMar>
              <w:top w:w="0" w:type="dxa"/>
              <w:bottom w:w="0" w:type="dxa"/>
            </w:tcMar>
            <w:vAlign w:val="center"/>
          </w:tcPr>
          <w:p w14:paraId="7FED9636" w14:textId="77777777" w:rsidR="003E20DF" w:rsidRDefault="00F01A5C">
            <w:pPr>
              <w:keepNext/>
              <w:keepLines/>
              <w:spacing w:after="0" w:line="240" w:lineRule="auto"/>
            </w:pPr>
            <w:r>
              <w:rPr>
                <w:sz w:val="18"/>
              </w:rPr>
              <w:t>6615</w:t>
            </w:r>
          </w:p>
        </w:tc>
        <w:tc>
          <w:tcPr>
            <w:tcW w:w="3180" w:type="dxa"/>
            <w:tcMar>
              <w:top w:w="0" w:type="dxa"/>
              <w:bottom w:w="0" w:type="dxa"/>
            </w:tcMar>
            <w:vAlign w:val="center"/>
          </w:tcPr>
          <w:p w14:paraId="58A8A16F" w14:textId="77777777" w:rsidR="003E20DF" w:rsidRDefault="00F01A5C">
            <w:pPr>
              <w:keepNext/>
              <w:keepLines/>
              <w:spacing w:after="0" w:line="240" w:lineRule="auto"/>
            </w:pPr>
            <w:r>
              <w:rPr>
                <w:sz w:val="18"/>
              </w:rPr>
              <w:t>Prihodi od pruženih usluga</w:t>
            </w:r>
          </w:p>
        </w:tc>
        <w:tc>
          <w:tcPr>
            <w:tcW w:w="700" w:type="dxa"/>
            <w:tcMar>
              <w:top w:w="0" w:type="dxa"/>
              <w:bottom w:w="0" w:type="dxa"/>
            </w:tcMar>
            <w:vAlign w:val="center"/>
          </w:tcPr>
          <w:p w14:paraId="58460274" w14:textId="77777777" w:rsidR="003E20DF" w:rsidRDefault="00F01A5C">
            <w:pPr>
              <w:keepNext/>
              <w:keepLines/>
              <w:spacing w:after="0" w:line="240" w:lineRule="auto"/>
            </w:pPr>
            <w:r>
              <w:rPr>
                <w:sz w:val="18"/>
              </w:rPr>
              <w:t>6615</w:t>
            </w:r>
          </w:p>
        </w:tc>
        <w:tc>
          <w:tcPr>
            <w:tcW w:w="1860" w:type="dxa"/>
            <w:tcMar>
              <w:top w:w="0" w:type="dxa"/>
              <w:bottom w:w="0" w:type="dxa"/>
            </w:tcMar>
            <w:vAlign w:val="center"/>
          </w:tcPr>
          <w:p w14:paraId="10D901E5" w14:textId="77777777" w:rsidR="003E20DF" w:rsidRDefault="00F01A5C">
            <w:pPr>
              <w:keepNext/>
              <w:keepLines/>
              <w:spacing w:after="0" w:line="240" w:lineRule="auto"/>
              <w:jc w:val="right"/>
            </w:pPr>
            <w:r>
              <w:rPr>
                <w:sz w:val="18"/>
              </w:rPr>
              <w:t>454.234,97</w:t>
            </w:r>
          </w:p>
        </w:tc>
        <w:tc>
          <w:tcPr>
            <w:tcW w:w="1860" w:type="dxa"/>
            <w:tcMar>
              <w:top w:w="0" w:type="dxa"/>
              <w:bottom w:w="0" w:type="dxa"/>
            </w:tcMar>
            <w:vAlign w:val="center"/>
          </w:tcPr>
          <w:p w14:paraId="702A7B4A" w14:textId="77777777" w:rsidR="003E20DF" w:rsidRDefault="00F01A5C">
            <w:pPr>
              <w:keepNext/>
              <w:keepLines/>
              <w:spacing w:after="0" w:line="240" w:lineRule="auto"/>
              <w:jc w:val="right"/>
            </w:pPr>
            <w:r>
              <w:rPr>
                <w:sz w:val="18"/>
              </w:rPr>
              <w:t>417.354,61</w:t>
            </w:r>
          </w:p>
        </w:tc>
        <w:tc>
          <w:tcPr>
            <w:tcW w:w="700" w:type="dxa"/>
            <w:tcMar>
              <w:top w:w="0" w:type="dxa"/>
              <w:bottom w:w="0" w:type="dxa"/>
            </w:tcMar>
            <w:vAlign w:val="center"/>
          </w:tcPr>
          <w:p w14:paraId="28C8C291" w14:textId="77777777" w:rsidR="003E20DF" w:rsidRDefault="00F01A5C">
            <w:pPr>
              <w:keepNext/>
              <w:keepLines/>
              <w:spacing w:after="0" w:line="240" w:lineRule="auto"/>
              <w:jc w:val="right"/>
            </w:pPr>
            <w:r>
              <w:rPr>
                <w:sz w:val="18"/>
              </w:rPr>
              <w:t>91,9</w:t>
            </w:r>
          </w:p>
        </w:tc>
      </w:tr>
    </w:tbl>
    <w:p w14:paraId="0F32E14A" w14:textId="77777777" w:rsidR="003E20DF" w:rsidRDefault="003E20DF">
      <w:pPr>
        <w:spacing w:after="0"/>
      </w:pPr>
    </w:p>
    <w:p w14:paraId="2DF99080" w14:textId="77777777" w:rsidR="003E20DF" w:rsidRDefault="00F01A5C" w:rsidP="009564AA">
      <w:pPr>
        <w:ind w:firstLine="708"/>
        <w:jc w:val="both"/>
      </w:pPr>
      <w:r>
        <w:t>Pad u okviru ove šifre u odnosu na isto razdoblje prethodne godine odnosi se na prihod od kupališta Copacabana uslijed lošijih vremenskih uvjeta tijekom ljetnih mjeseci u 2025.</w:t>
      </w:r>
    </w:p>
    <w:p w14:paraId="5A295651" w14:textId="77777777" w:rsidR="003E20DF" w:rsidRDefault="003E20DF"/>
    <w:p w14:paraId="7EE136C4" w14:textId="77777777" w:rsidR="003E20DF" w:rsidRDefault="00F01A5C">
      <w:pPr>
        <w:keepNext/>
        <w:spacing w:line="240" w:lineRule="auto"/>
        <w:jc w:val="center"/>
      </w:pPr>
      <w:r>
        <w:rPr>
          <w:sz w:val="28"/>
        </w:rPr>
        <w:lastRenderedPageBreak/>
        <w:t>Bilješka 18.</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20DF" w14:paraId="496CA4D1" w14:textId="77777777">
        <w:trPr>
          <w:cantSplit/>
        </w:trPr>
        <w:tc>
          <w:tcPr>
            <w:tcW w:w="700" w:type="dxa"/>
            <w:shd w:val="clear" w:color="auto" w:fill="E7F0F9"/>
            <w:tcMar>
              <w:top w:w="0" w:type="dxa"/>
              <w:bottom w:w="0" w:type="dxa"/>
            </w:tcMar>
            <w:vAlign w:val="center"/>
          </w:tcPr>
          <w:p w14:paraId="20FEF923" w14:textId="77777777" w:rsidR="003E20DF" w:rsidRDefault="00F01A5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0A877F9" w14:textId="77777777" w:rsidR="003E20DF" w:rsidRDefault="00F01A5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A0F7782" w14:textId="77777777" w:rsidR="003E20DF" w:rsidRDefault="00F01A5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E686702" w14:textId="77777777" w:rsidR="003E20DF" w:rsidRDefault="00F01A5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64474B8" w14:textId="77777777" w:rsidR="003E20DF" w:rsidRDefault="00F01A5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B3E8B24" w14:textId="77777777" w:rsidR="003E20DF" w:rsidRDefault="00F01A5C">
            <w:pPr>
              <w:keepNext/>
              <w:keepLines/>
              <w:spacing w:after="0" w:line="240" w:lineRule="auto"/>
              <w:jc w:val="center"/>
            </w:pPr>
            <w:r>
              <w:rPr>
                <w:b/>
                <w:sz w:val="18"/>
              </w:rPr>
              <w:t>Indeks (%)</w:t>
            </w:r>
          </w:p>
        </w:tc>
      </w:tr>
      <w:tr w:rsidR="003E20DF" w14:paraId="4D73FD71" w14:textId="77777777">
        <w:trPr>
          <w:cantSplit/>
          <w:trHeight w:val="560"/>
        </w:trPr>
        <w:tc>
          <w:tcPr>
            <w:tcW w:w="700" w:type="dxa"/>
            <w:tcMar>
              <w:top w:w="0" w:type="dxa"/>
              <w:bottom w:w="0" w:type="dxa"/>
            </w:tcMar>
            <w:vAlign w:val="center"/>
          </w:tcPr>
          <w:p w14:paraId="67FBBD5D" w14:textId="77777777" w:rsidR="003E20DF" w:rsidRDefault="00F01A5C">
            <w:pPr>
              <w:keepNext/>
              <w:keepLines/>
              <w:spacing w:after="0" w:line="240" w:lineRule="auto"/>
            </w:pPr>
            <w:r>
              <w:rPr>
                <w:sz w:val="18"/>
              </w:rPr>
              <w:t>6632</w:t>
            </w:r>
          </w:p>
        </w:tc>
        <w:tc>
          <w:tcPr>
            <w:tcW w:w="3180" w:type="dxa"/>
            <w:tcMar>
              <w:top w:w="0" w:type="dxa"/>
              <w:bottom w:w="0" w:type="dxa"/>
            </w:tcMar>
            <w:vAlign w:val="center"/>
          </w:tcPr>
          <w:p w14:paraId="3F9C9804" w14:textId="77777777" w:rsidR="003E20DF" w:rsidRDefault="00F01A5C">
            <w:pPr>
              <w:keepNext/>
              <w:keepLines/>
              <w:spacing w:after="0" w:line="240" w:lineRule="auto"/>
            </w:pPr>
            <w:r>
              <w:rPr>
                <w:sz w:val="18"/>
              </w:rPr>
              <w:t>Kapitalne donacije</w:t>
            </w:r>
          </w:p>
        </w:tc>
        <w:tc>
          <w:tcPr>
            <w:tcW w:w="700" w:type="dxa"/>
            <w:tcMar>
              <w:top w:w="0" w:type="dxa"/>
              <w:bottom w:w="0" w:type="dxa"/>
            </w:tcMar>
            <w:vAlign w:val="center"/>
          </w:tcPr>
          <w:p w14:paraId="75809543" w14:textId="77777777" w:rsidR="003E20DF" w:rsidRDefault="00F01A5C">
            <w:pPr>
              <w:keepNext/>
              <w:keepLines/>
              <w:spacing w:after="0" w:line="240" w:lineRule="auto"/>
            </w:pPr>
            <w:r>
              <w:rPr>
                <w:sz w:val="18"/>
              </w:rPr>
              <w:t>6632</w:t>
            </w:r>
          </w:p>
        </w:tc>
        <w:tc>
          <w:tcPr>
            <w:tcW w:w="1860" w:type="dxa"/>
            <w:tcMar>
              <w:top w:w="0" w:type="dxa"/>
              <w:bottom w:w="0" w:type="dxa"/>
            </w:tcMar>
            <w:vAlign w:val="center"/>
          </w:tcPr>
          <w:p w14:paraId="60EB13F0" w14:textId="77777777" w:rsidR="003E20DF" w:rsidRDefault="00F01A5C">
            <w:pPr>
              <w:keepNext/>
              <w:keepLines/>
              <w:spacing w:after="0" w:line="240" w:lineRule="auto"/>
              <w:jc w:val="right"/>
            </w:pPr>
            <w:r>
              <w:rPr>
                <w:sz w:val="18"/>
              </w:rPr>
              <w:t>16.400,00</w:t>
            </w:r>
          </w:p>
        </w:tc>
        <w:tc>
          <w:tcPr>
            <w:tcW w:w="1860" w:type="dxa"/>
            <w:tcMar>
              <w:top w:w="0" w:type="dxa"/>
              <w:bottom w:w="0" w:type="dxa"/>
            </w:tcMar>
            <w:vAlign w:val="center"/>
          </w:tcPr>
          <w:p w14:paraId="3568CDE8" w14:textId="77777777" w:rsidR="003E20DF" w:rsidRDefault="00F01A5C">
            <w:pPr>
              <w:keepNext/>
              <w:keepLines/>
              <w:spacing w:after="0" w:line="240" w:lineRule="auto"/>
              <w:jc w:val="right"/>
            </w:pPr>
            <w:r>
              <w:rPr>
                <w:sz w:val="18"/>
              </w:rPr>
              <w:t>15.000,00</w:t>
            </w:r>
          </w:p>
        </w:tc>
        <w:tc>
          <w:tcPr>
            <w:tcW w:w="700" w:type="dxa"/>
            <w:tcMar>
              <w:top w:w="0" w:type="dxa"/>
              <w:bottom w:w="0" w:type="dxa"/>
            </w:tcMar>
            <w:vAlign w:val="center"/>
          </w:tcPr>
          <w:p w14:paraId="10B01074" w14:textId="77777777" w:rsidR="003E20DF" w:rsidRDefault="00F01A5C">
            <w:pPr>
              <w:keepNext/>
              <w:keepLines/>
              <w:spacing w:after="0" w:line="240" w:lineRule="auto"/>
              <w:jc w:val="right"/>
            </w:pPr>
            <w:r>
              <w:rPr>
                <w:sz w:val="18"/>
              </w:rPr>
              <w:t>91,5</w:t>
            </w:r>
          </w:p>
        </w:tc>
      </w:tr>
    </w:tbl>
    <w:p w14:paraId="75CEC6F1" w14:textId="77777777" w:rsidR="003E20DF" w:rsidRDefault="003E20DF">
      <w:pPr>
        <w:spacing w:after="0"/>
      </w:pPr>
    </w:p>
    <w:p w14:paraId="18B3052A" w14:textId="77777777" w:rsidR="003E20DF" w:rsidRDefault="00F01A5C" w:rsidP="009564AA">
      <w:pPr>
        <w:ind w:firstLine="708"/>
        <w:jc w:val="both"/>
      </w:pPr>
      <w:r>
        <w:t>U 2024. u izvještajnom razdoblju ostvaren je prihod s osnove Ugovora o darovanju kioska, dok u 2025. godini ostvaren prihod od donacija od društva Coca Cola za uređenje igrališta.</w:t>
      </w:r>
    </w:p>
    <w:p w14:paraId="26D9C83E" w14:textId="77777777" w:rsidR="003E20DF" w:rsidRDefault="003E20DF"/>
    <w:p w14:paraId="0BE3BDE8" w14:textId="77777777" w:rsidR="003E20DF" w:rsidRDefault="00F01A5C">
      <w:pPr>
        <w:keepNext/>
        <w:spacing w:line="240" w:lineRule="auto"/>
        <w:jc w:val="center"/>
      </w:pPr>
      <w:r>
        <w:rPr>
          <w:sz w:val="28"/>
        </w:rPr>
        <w:t>Bilješka 19.</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20DF" w14:paraId="047A4EE4" w14:textId="77777777">
        <w:trPr>
          <w:cantSplit/>
        </w:trPr>
        <w:tc>
          <w:tcPr>
            <w:tcW w:w="700" w:type="dxa"/>
            <w:shd w:val="clear" w:color="auto" w:fill="E7F0F9"/>
            <w:tcMar>
              <w:top w:w="0" w:type="dxa"/>
              <w:bottom w:w="0" w:type="dxa"/>
            </w:tcMar>
            <w:vAlign w:val="center"/>
          </w:tcPr>
          <w:p w14:paraId="3AF9166B" w14:textId="77777777" w:rsidR="003E20DF" w:rsidRDefault="00F01A5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0DDD600" w14:textId="77777777" w:rsidR="003E20DF" w:rsidRDefault="00F01A5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9676A48" w14:textId="77777777" w:rsidR="003E20DF" w:rsidRDefault="00F01A5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F653368" w14:textId="77777777" w:rsidR="003E20DF" w:rsidRDefault="00F01A5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8720DA0" w14:textId="77777777" w:rsidR="003E20DF" w:rsidRDefault="00F01A5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A817BE1" w14:textId="77777777" w:rsidR="003E20DF" w:rsidRDefault="00F01A5C">
            <w:pPr>
              <w:keepNext/>
              <w:keepLines/>
              <w:spacing w:after="0" w:line="240" w:lineRule="auto"/>
              <w:jc w:val="center"/>
            </w:pPr>
            <w:r>
              <w:rPr>
                <w:b/>
                <w:sz w:val="18"/>
              </w:rPr>
              <w:t>Indeks (%)</w:t>
            </w:r>
          </w:p>
        </w:tc>
      </w:tr>
      <w:tr w:rsidR="003E20DF" w14:paraId="73E37A0F" w14:textId="77777777">
        <w:trPr>
          <w:cantSplit/>
          <w:trHeight w:val="560"/>
        </w:trPr>
        <w:tc>
          <w:tcPr>
            <w:tcW w:w="700" w:type="dxa"/>
            <w:tcMar>
              <w:top w:w="0" w:type="dxa"/>
              <w:bottom w:w="0" w:type="dxa"/>
            </w:tcMar>
            <w:vAlign w:val="center"/>
          </w:tcPr>
          <w:p w14:paraId="633146BC" w14:textId="77777777" w:rsidR="003E20DF" w:rsidRDefault="00F01A5C">
            <w:pPr>
              <w:keepNext/>
              <w:keepLines/>
              <w:spacing w:after="0" w:line="240" w:lineRule="auto"/>
            </w:pPr>
            <w:r>
              <w:rPr>
                <w:sz w:val="18"/>
              </w:rPr>
              <w:t>6819</w:t>
            </w:r>
          </w:p>
        </w:tc>
        <w:tc>
          <w:tcPr>
            <w:tcW w:w="3180" w:type="dxa"/>
            <w:tcMar>
              <w:top w:w="0" w:type="dxa"/>
              <w:bottom w:w="0" w:type="dxa"/>
            </w:tcMar>
            <w:vAlign w:val="center"/>
          </w:tcPr>
          <w:p w14:paraId="74738631" w14:textId="77777777" w:rsidR="003E20DF" w:rsidRDefault="00F01A5C">
            <w:pPr>
              <w:keepNext/>
              <w:keepLines/>
              <w:spacing w:after="0" w:line="240" w:lineRule="auto"/>
            </w:pPr>
            <w:r>
              <w:rPr>
                <w:sz w:val="18"/>
              </w:rPr>
              <w:t>Ostale kazne</w:t>
            </w:r>
          </w:p>
        </w:tc>
        <w:tc>
          <w:tcPr>
            <w:tcW w:w="700" w:type="dxa"/>
            <w:tcMar>
              <w:top w:w="0" w:type="dxa"/>
              <w:bottom w:w="0" w:type="dxa"/>
            </w:tcMar>
            <w:vAlign w:val="center"/>
          </w:tcPr>
          <w:p w14:paraId="0EEFF539" w14:textId="77777777" w:rsidR="003E20DF" w:rsidRDefault="00F01A5C">
            <w:pPr>
              <w:keepNext/>
              <w:keepLines/>
              <w:spacing w:after="0" w:line="240" w:lineRule="auto"/>
            </w:pPr>
            <w:r>
              <w:rPr>
                <w:sz w:val="18"/>
              </w:rPr>
              <w:t>6819</w:t>
            </w:r>
          </w:p>
        </w:tc>
        <w:tc>
          <w:tcPr>
            <w:tcW w:w="1860" w:type="dxa"/>
            <w:tcMar>
              <w:top w:w="0" w:type="dxa"/>
              <w:bottom w:w="0" w:type="dxa"/>
            </w:tcMar>
            <w:vAlign w:val="center"/>
          </w:tcPr>
          <w:p w14:paraId="269F4315" w14:textId="77777777" w:rsidR="003E20DF" w:rsidRDefault="00F01A5C">
            <w:pPr>
              <w:keepNext/>
              <w:keepLines/>
              <w:spacing w:after="0" w:line="240" w:lineRule="auto"/>
              <w:jc w:val="right"/>
            </w:pPr>
            <w:r>
              <w:rPr>
                <w:sz w:val="18"/>
              </w:rPr>
              <w:t>441.975,22</w:t>
            </w:r>
          </w:p>
        </w:tc>
        <w:tc>
          <w:tcPr>
            <w:tcW w:w="1860" w:type="dxa"/>
            <w:tcMar>
              <w:top w:w="0" w:type="dxa"/>
              <w:bottom w:w="0" w:type="dxa"/>
            </w:tcMar>
            <w:vAlign w:val="center"/>
          </w:tcPr>
          <w:p w14:paraId="46DD3905" w14:textId="77777777" w:rsidR="003E20DF" w:rsidRDefault="00F01A5C">
            <w:pPr>
              <w:keepNext/>
              <w:keepLines/>
              <w:spacing w:after="0" w:line="240" w:lineRule="auto"/>
              <w:jc w:val="right"/>
            </w:pPr>
            <w:r>
              <w:rPr>
                <w:sz w:val="18"/>
              </w:rPr>
              <w:t>1.043.983,84</w:t>
            </w:r>
          </w:p>
        </w:tc>
        <w:tc>
          <w:tcPr>
            <w:tcW w:w="700" w:type="dxa"/>
            <w:tcMar>
              <w:top w:w="0" w:type="dxa"/>
              <w:bottom w:w="0" w:type="dxa"/>
            </w:tcMar>
            <w:vAlign w:val="center"/>
          </w:tcPr>
          <w:p w14:paraId="2FE15E18" w14:textId="77777777" w:rsidR="003E20DF" w:rsidRDefault="00F01A5C">
            <w:pPr>
              <w:keepNext/>
              <w:keepLines/>
              <w:spacing w:after="0" w:line="240" w:lineRule="auto"/>
              <w:jc w:val="right"/>
            </w:pPr>
            <w:r>
              <w:rPr>
                <w:sz w:val="18"/>
              </w:rPr>
              <w:t>236,2</w:t>
            </w:r>
          </w:p>
        </w:tc>
      </w:tr>
    </w:tbl>
    <w:p w14:paraId="78CE8C41" w14:textId="77777777" w:rsidR="003E20DF" w:rsidRDefault="003E20DF">
      <w:pPr>
        <w:spacing w:after="0"/>
      </w:pPr>
    </w:p>
    <w:p w14:paraId="26E78EBA" w14:textId="77777777" w:rsidR="003E20DF" w:rsidRDefault="00F01A5C" w:rsidP="009564AA">
      <w:pPr>
        <w:ind w:firstLine="708"/>
        <w:jc w:val="both"/>
      </w:pPr>
      <w:r>
        <w:t>Rast prihoda s osnova kazni vezan je za naplatu ugovorne kazne od tvrtke Cras d.o.o. uslijed neizvršavanja ugovornih obveza na energetskoj obnovi ETC Mačkamama, kao i većeg broja izdanih prometnih i komunalnih kazni za prekršaje na području grada.</w:t>
      </w:r>
    </w:p>
    <w:p w14:paraId="1C5B4BD1" w14:textId="77777777" w:rsidR="003E20DF" w:rsidRDefault="003E20DF"/>
    <w:p w14:paraId="75784705" w14:textId="77777777" w:rsidR="003E20DF" w:rsidRDefault="00F01A5C">
      <w:pPr>
        <w:keepNext/>
        <w:spacing w:line="240" w:lineRule="auto"/>
        <w:jc w:val="center"/>
      </w:pPr>
      <w:r>
        <w:rPr>
          <w:sz w:val="28"/>
        </w:rPr>
        <w:t>Bilješka 20.</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20DF" w14:paraId="57F47A25" w14:textId="77777777">
        <w:trPr>
          <w:cantSplit/>
        </w:trPr>
        <w:tc>
          <w:tcPr>
            <w:tcW w:w="700" w:type="dxa"/>
            <w:shd w:val="clear" w:color="auto" w:fill="E7F0F9"/>
            <w:tcMar>
              <w:top w:w="0" w:type="dxa"/>
              <w:bottom w:w="0" w:type="dxa"/>
            </w:tcMar>
            <w:vAlign w:val="center"/>
          </w:tcPr>
          <w:p w14:paraId="22499091" w14:textId="77777777" w:rsidR="003E20DF" w:rsidRDefault="00F01A5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B3BC6FD" w14:textId="77777777" w:rsidR="003E20DF" w:rsidRDefault="00F01A5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F4DE094" w14:textId="77777777" w:rsidR="003E20DF" w:rsidRDefault="00F01A5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9AD7398" w14:textId="77777777" w:rsidR="003E20DF" w:rsidRDefault="00F01A5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E386249" w14:textId="77777777" w:rsidR="003E20DF" w:rsidRDefault="00F01A5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41F8314" w14:textId="77777777" w:rsidR="003E20DF" w:rsidRDefault="00F01A5C">
            <w:pPr>
              <w:keepNext/>
              <w:keepLines/>
              <w:spacing w:after="0" w:line="240" w:lineRule="auto"/>
              <w:jc w:val="center"/>
            </w:pPr>
            <w:r>
              <w:rPr>
                <w:b/>
                <w:sz w:val="18"/>
              </w:rPr>
              <w:t>Indeks (%)</w:t>
            </w:r>
          </w:p>
        </w:tc>
      </w:tr>
      <w:tr w:rsidR="003E20DF" w14:paraId="2A4A3851" w14:textId="77777777">
        <w:trPr>
          <w:cantSplit/>
          <w:trHeight w:val="560"/>
        </w:trPr>
        <w:tc>
          <w:tcPr>
            <w:tcW w:w="700" w:type="dxa"/>
            <w:tcMar>
              <w:top w:w="0" w:type="dxa"/>
              <w:bottom w:w="0" w:type="dxa"/>
            </w:tcMar>
            <w:vAlign w:val="center"/>
          </w:tcPr>
          <w:p w14:paraId="58FEBC26" w14:textId="77777777" w:rsidR="003E20DF" w:rsidRDefault="00F01A5C">
            <w:pPr>
              <w:keepNext/>
              <w:keepLines/>
              <w:spacing w:after="0" w:line="240" w:lineRule="auto"/>
            </w:pPr>
            <w:r>
              <w:rPr>
                <w:sz w:val="18"/>
              </w:rPr>
              <w:t>683</w:t>
            </w:r>
          </w:p>
        </w:tc>
        <w:tc>
          <w:tcPr>
            <w:tcW w:w="3180" w:type="dxa"/>
            <w:tcMar>
              <w:top w:w="0" w:type="dxa"/>
              <w:bottom w:w="0" w:type="dxa"/>
            </w:tcMar>
            <w:vAlign w:val="center"/>
          </w:tcPr>
          <w:p w14:paraId="3F84EE6C" w14:textId="77777777" w:rsidR="003E20DF" w:rsidRDefault="00F01A5C">
            <w:pPr>
              <w:keepNext/>
              <w:keepLines/>
              <w:spacing w:after="0" w:line="240" w:lineRule="auto"/>
            </w:pPr>
            <w:r>
              <w:rPr>
                <w:sz w:val="18"/>
              </w:rPr>
              <w:t>Ostali prihodi</w:t>
            </w:r>
          </w:p>
        </w:tc>
        <w:tc>
          <w:tcPr>
            <w:tcW w:w="700" w:type="dxa"/>
            <w:tcMar>
              <w:top w:w="0" w:type="dxa"/>
              <w:bottom w:w="0" w:type="dxa"/>
            </w:tcMar>
            <w:vAlign w:val="center"/>
          </w:tcPr>
          <w:p w14:paraId="69BB7F4C" w14:textId="77777777" w:rsidR="003E20DF" w:rsidRDefault="00F01A5C">
            <w:pPr>
              <w:keepNext/>
              <w:keepLines/>
              <w:spacing w:after="0" w:line="240" w:lineRule="auto"/>
            </w:pPr>
            <w:r>
              <w:rPr>
                <w:sz w:val="18"/>
              </w:rPr>
              <w:t>683</w:t>
            </w:r>
          </w:p>
        </w:tc>
        <w:tc>
          <w:tcPr>
            <w:tcW w:w="1860" w:type="dxa"/>
            <w:tcMar>
              <w:top w:w="0" w:type="dxa"/>
              <w:bottom w:w="0" w:type="dxa"/>
            </w:tcMar>
            <w:vAlign w:val="center"/>
          </w:tcPr>
          <w:p w14:paraId="590F6D2F" w14:textId="77777777" w:rsidR="003E20DF" w:rsidRDefault="00F01A5C">
            <w:pPr>
              <w:keepNext/>
              <w:keepLines/>
              <w:spacing w:after="0" w:line="240" w:lineRule="auto"/>
              <w:jc w:val="right"/>
            </w:pPr>
            <w:r>
              <w:rPr>
                <w:sz w:val="18"/>
              </w:rPr>
              <w:t>258.518,48</w:t>
            </w:r>
          </w:p>
        </w:tc>
        <w:tc>
          <w:tcPr>
            <w:tcW w:w="1860" w:type="dxa"/>
            <w:tcMar>
              <w:top w:w="0" w:type="dxa"/>
              <w:bottom w:w="0" w:type="dxa"/>
            </w:tcMar>
            <w:vAlign w:val="center"/>
          </w:tcPr>
          <w:p w14:paraId="3FDC9777" w14:textId="77777777" w:rsidR="003E20DF" w:rsidRDefault="00F01A5C">
            <w:pPr>
              <w:keepNext/>
              <w:keepLines/>
              <w:spacing w:after="0" w:line="240" w:lineRule="auto"/>
              <w:jc w:val="right"/>
            </w:pPr>
            <w:r>
              <w:rPr>
                <w:sz w:val="18"/>
              </w:rPr>
              <w:t>3.281.597,19</w:t>
            </w:r>
          </w:p>
        </w:tc>
        <w:tc>
          <w:tcPr>
            <w:tcW w:w="700" w:type="dxa"/>
            <w:tcMar>
              <w:top w:w="0" w:type="dxa"/>
              <w:bottom w:w="0" w:type="dxa"/>
            </w:tcMar>
            <w:vAlign w:val="center"/>
          </w:tcPr>
          <w:p w14:paraId="0CAB7F95" w14:textId="77777777" w:rsidR="003E20DF" w:rsidRDefault="00F01A5C">
            <w:pPr>
              <w:keepNext/>
              <w:keepLines/>
              <w:spacing w:after="0" w:line="240" w:lineRule="auto"/>
              <w:jc w:val="right"/>
            </w:pPr>
            <w:r>
              <w:rPr>
                <w:sz w:val="18"/>
              </w:rPr>
              <w:t>1269,4</w:t>
            </w:r>
          </w:p>
        </w:tc>
      </w:tr>
    </w:tbl>
    <w:p w14:paraId="7C5F564F" w14:textId="77777777" w:rsidR="003E20DF" w:rsidRDefault="003E20DF">
      <w:pPr>
        <w:spacing w:after="0"/>
      </w:pPr>
    </w:p>
    <w:p w14:paraId="707F2190" w14:textId="77777777" w:rsidR="003E20DF" w:rsidRDefault="00F01A5C" w:rsidP="009564AA">
      <w:pPr>
        <w:ind w:firstLine="708"/>
        <w:jc w:val="both"/>
      </w:pPr>
      <w:r>
        <w:t>Povećanje u okviru ovih prihoda vezano je za povrat  sredstava kapitalne potpore GPP-u iz 2023. i 2024. godine danih za pred financiranje projekta Modernizacija tramvajske infrastrukture na području grada Osijeka, a za koja je izvršena refundacija sredstava pomoći Europske unije.</w:t>
      </w:r>
    </w:p>
    <w:p w14:paraId="58377DBC" w14:textId="77777777" w:rsidR="003E20DF" w:rsidRDefault="003E20DF"/>
    <w:p w14:paraId="63DF68D7" w14:textId="77777777" w:rsidR="003E20DF" w:rsidRDefault="00F01A5C">
      <w:pPr>
        <w:keepNext/>
        <w:spacing w:line="240" w:lineRule="auto"/>
        <w:jc w:val="center"/>
      </w:pPr>
      <w:r>
        <w:rPr>
          <w:sz w:val="28"/>
        </w:rPr>
        <w:t>Bilješka 21.</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20DF" w14:paraId="0BA496E3" w14:textId="77777777">
        <w:trPr>
          <w:cantSplit/>
        </w:trPr>
        <w:tc>
          <w:tcPr>
            <w:tcW w:w="700" w:type="dxa"/>
            <w:shd w:val="clear" w:color="auto" w:fill="E7F0F9"/>
            <w:tcMar>
              <w:top w:w="0" w:type="dxa"/>
              <w:bottom w:w="0" w:type="dxa"/>
            </w:tcMar>
            <w:vAlign w:val="center"/>
          </w:tcPr>
          <w:p w14:paraId="0CC5EE41" w14:textId="77777777" w:rsidR="003E20DF" w:rsidRDefault="00F01A5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051E78A" w14:textId="77777777" w:rsidR="003E20DF" w:rsidRDefault="00F01A5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12C6E41" w14:textId="77777777" w:rsidR="003E20DF" w:rsidRDefault="00F01A5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08E7447" w14:textId="77777777" w:rsidR="003E20DF" w:rsidRDefault="00F01A5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40F9845" w14:textId="77777777" w:rsidR="003E20DF" w:rsidRDefault="00F01A5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5515131" w14:textId="77777777" w:rsidR="003E20DF" w:rsidRDefault="00F01A5C">
            <w:pPr>
              <w:keepNext/>
              <w:keepLines/>
              <w:spacing w:after="0" w:line="240" w:lineRule="auto"/>
              <w:jc w:val="center"/>
            </w:pPr>
            <w:r>
              <w:rPr>
                <w:b/>
                <w:sz w:val="18"/>
              </w:rPr>
              <w:t>Indeks (%)</w:t>
            </w:r>
          </w:p>
        </w:tc>
      </w:tr>
      <w:tr w:rsidR="003E20DF" w14:paraId="1BD7980B" w14:textId="77777777">
        <w:trPr>
          <w:cantSplit/>
          <w:trHeight w:val="560"/>
        </w:trPr>
        <w:tc>
          <w:tcPr>
            <w:tcW w:w="700" w:type="dxa"/>
            <w:tcMar>
              <w:top w:w="0" w:type="dxa"/>
              <w:bottom w:w="0" w:type="dxa"/>
            </w:tcMar>
            <w:vAlign w:val="center"/>
          </w:tcPr>
          <w:p w14:paraId="443D48A3" w14:textId="77777777" w:rsidR="003E20DF" w:rsidRDefault="00F01A5C">
            <w:pPr>
              <w:keepNext/>
              <w:keepLines/>
              <w:spacing w:after="0" w:line="240" w:lineRule="auto"/>
            </w:pPr>
            <w:r>
              <w:rPr>
                <w:sz w:val="18"/>
              </w:rPr>
              <w:t>3111</w:t>
            </w:r>
          </w:p>
        </w:tc>
        <w:tc>
          <w:tcPr>
            <w:tcW w:w="3180" w:type="dxa"/>
            <w:tcMar>
              <w:top w:w="0" w:type="dxa"/>
              <w:bottom w:w="0" w:type="dxa"/>
            </w:tcMar>
            <w:vAlign w:val="center"/>
          </w:tcPr>
          <w:p w14:paraId="7E185FF4" w14:textId="77777777" w:rsidR="003E20DF" w:rsidRDefault="00F01A5C">
            <w:pPr>
              <w:keepNext/>
              <w:keepLines/>
              <w:spacing w:after="0" w:line="240" w:lineRule="auto"/>
            </w:pPr>
            <w:r>
              <w:rPr>
                <w:sz w:val="18"/>
              </w:rPr>
              <w:t>Plaće za redovan rad</w:t>
            </w:r>
          </w:p>
        </w:tc>
        <w:tc>
          <w:tcPr>
            <w:tcW w:w="700" w:type="dxa"/>
            <w:tcMar>
              <w:top w:w="0" w:type="dxa"/>
              <w:bottom w:w="0" w:type="dxa"/>
            </w:tcMar>
            <w:vAlign w:val="center"/>
          </w:tcPr>
          <w:p w14:paraId="082607C9" w14:textId="77777777" w:rsidR="003E20DF" w:rsidRDefault="00F01A5C">
            <w:pPr>
              <w:keepNext/>
              <w:keepLines/>
              <w:spacing w:after="0" w:line="240" w:lineRule="auto"/>
            </w:pPr>
            <w:r>
              <w:rPr>
                <w:sz w:val="18"/>
              </w:rPr>
              <w:t>3111</w:t>
            </w:r>
          </w:p>
        </w:tc>
        <w:tc>
          <w:tcPr>
            <w:tcW w:w="1860" w:type="dxa"/>
            <w:tcMar>
              <w:top w:w="0" w:type="dxa"/>
              <w:bottom w:w="0" w:type="dxa"/>
            </w:tcMar>
            <w:vAlign w:val="center"/>
          </w:tcPr>
          <w:p w14:paraId="36054C1D" w14:textId="77777777" w:rsidR="003E20DF" w:rsidRDefault="00F01A5C">
            <w:pPr>
              <w:keepNext/>
              <w:keepLines/>
              <w:spacing w:after="0" w:line="240" w:lineRule="auto"/>
              <w:jc w:val="right"/>
            </w:pPr>
            <w:r>
              <w:rPr>
                <w:sz w:val="18"/>
              </w:rPr>
              <w:t>4.013.971,53</w:t>
            </w:r>
          </w:p>
        </w:tc>
        <w:tc>
          <w:tcPr>
            <w:tcW w:w="1860" w:type="dxa"/>
            <w:tcMar>
              <w:top w:w="0" w:type="dxa"/>
              <w:bottom w:w="0" w:type="dxa"/>
            </w:tcMar>
            <w:vAlign w:val="center"/>
          </w:tcPr>
          <w:p w14:paraId="0445C0D1" w14:textId="77777777" w:rsidR="003E20DF" w:rsidRDefault="00F01A5C">
            <w:pPr>
              <w:keepNext/>
              <w:keepLines/>
              <w:spacing w:after="0" w:line="240" w:lineRule="auto"/>
              <w:jc w:val="right"/>
            </w:pPr>
            <w:r>
              <w:rPr>
                <w:sz w:val="18"/>
              </w:rPr>
              <w:t>5.102.082,68</w:t>
            </w:r>
          </w:p>
        </w:tc>
        <w:tc>
          <w:tcPr>
            <w:tcW w:w="700" w:type="dxa"/>
            <w:tcMar>
              <w:top w:w="0" w:type="dxa"/>
              <w:bottom w:w="0" w:type="dxa"/>
            </w:tcMar>
            <w:vAlign w:val="center"/>
          </w:tcPr>
          <w:p w14:paraId="0302C1F5" w14:textId="77777777" w:rsidR="003E20DF" w:rsidRDefault="00F01A5C">
            <w:pPr>
              <w:keepNext/>
              <w:keepLines/>
              <w:spacing w:after="0" w:line="240" w:lineRule="auto"/>
              <w:jc w:val="right"/>
            </w:pPr>
            <w:r>
              <w:rPr>
                <w:sz w:val="18"/>
              </w:rPr>
              <w:t>127,1</w:t>
            </w:r>
          </w:p>
        </w:tc>
      </w:tr>
    </w:tbl>
    <w:p w14:paraId="38F08EC7" w14:textId="77777777" w:rsidR="003E20DF" w:rsidRDefault="003E20DF">
      <w:pPr>
        <w:spacing w:after="0"/>
      </w:pPr>
    </w:p>
    <w:p w14:paraId="7FA23C49" w14:textId="77777777" w:rsidR="003E20DF" w:rsidRDefault="00F01A5C" w:rsidP="009564AA">
      <w:pPr>
        <w:ind w:firstLine="708"/>
        <w:jc w:val="both"/>
      </w:pPr>
      <w:r>
        <w:t xml:space="preserve">Rast u okviru ovih rashoda vezano je povećanje koeficijenata zaposlenicima Gradske uprave temeljem odluke Gradskog vijeća iz listopada 2024. Nadalje, Grad Osijek i Sindikat </w:t>
      </w:r>
      <w:r>
        <w:lastRenderedPageBreak/>
        <w:t>državnih i lokalnih službenika i namještenika, Podružnica Osijek sklopili su dodatak II. Kolektivnog ugovora kojim je uvećan mjesečni fiksni bruto dodatak na plaću te povećana ostala materijalna prava (topli obrok).</w:t>
      </w:r>
    </w:p>
    <w:p w14:paraId="0DEFAE1D" w14:textId="77777777" w:rsidR="003E20DF" w:rsidRDefault="00F01A5C">
      <w:r>
        <w:t> </w:t>
      </w:r>
    </w:p>
    <w:p w14:paraId="3EF75019" w14:textId="77777777" w:rsidR="003E20DF" w:rsidRDefault="003E20DF"/>
    <w:p w14:paraId="30C8A673" w14:textId="77777777" w:rsidR="003E20DF" w:rsidRDefault="00F01A5C">
      <w:pPr>
        <w:keepNext/>
        <w:spacing w:line="240" w:lineRule="auto"/>
        <w:jc w:val="center"/>
      </w:pPr>
      <w:r>
        <w:rPr>
          <w:sz w:val="28"/>
        </w:rPr>
        <w:t>Bilješka 22.</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20DF" w14:paraId="380E6616" w14:textId="77777777">
        <w:trPr>
          <w:cantSplit/>
        </w:trPr>
        <w:tc>
          <w:tcPr>
            <w:tcW w:w="700" w:type="dxa"/>
            <w:shd w:val="clear" w:color="auto" w:fill="E7F0F9"/>
            <w:tcMar>
              <w:top w:w="0" w:type="dxa"/>
              <w:bottom w:w="0" w:type="dxa"/>
            </w:tcMar>
            <w:vAlign w:val="center"/>
          </w:tcPr>
          <w:p w14:paraId="1CA65BAD" w14:textId="77777777" w:rsidR="003E20DF" w:rsidRDefault="00F01A5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517C3C8" w14:textId="77777777" w:rsidR="003E20DF" w:rsidRDefault="00F01A5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BBE9184" w14:textId="77777777" w:rsidR="003E20DF" w:rsidRDefault="00F01A5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8E16832" w14:textId="77777777" w:rsidR="003E20DF" w:rsidRDefault="00F01A5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A6707BA" w14:textId="77777777" w:rsidR="003E20DF" w:rsidRDefault="00F01A5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DA041EF" w14:textId="77777777" w:rsidR="003E20DF" w:rsidRDefault="00F01A5C">
            <w:pPr>
              <w:keepNext/>
              <w:keepLines/>
              <w:spacing w:after="0" w:line="240" w:lineRule="auto"/>
              <w:jc w:val="center"/>
            </w:pPr>
            <w:r>
              <w:rPr>
                <w:b/>
                <w:sz w:val="18"/>
              </w:rPr>
              <w:t>Indeks (%)</w:t>
            </w:r>
          </w:p>
        </w:tc>
      </w:tr>
      <w:tr w:rsidR="003E20DF" w14:paraId="702A8348" w14:textId="77777777">
        <w:trPr>
          <w:cantSplit/>
          <w:trHeight w:val="560"/>
        </w:trPr>
        <w:tc>
          <w:tcPr>
            <w:tcW w:w="700" w:type="dxa"/>
            <w:tcMar>
              <w:top w:w="0" w:type="dxa"/>
              <w:bottom w:w="0" w:type="dxa"/>
            </w:tcMar>
            <w:vAlign w:val="center"/>
          </w:tcPr>
          <w:p w14:paraId="1B6F2200" w14:textId="77777777" w:rsidR="003E20DF" w:rsidRDefault="00F01A5C">
            <w:pPr>
              <w:keepNext/>
              <w:keepLines/>
              <w:spacing w:after="0" w:line="240" w:lineRule="auto"/>
            </w:pPr>
            <w:r>
              <w:rPr>
                <w:sz w:val="18"/>
              </w:rPr>
              <w:t>3113</w:t>
            </w:r>
          </w:p>
        </w:tc>
        <w:tc>
          <w:tcPr>
            <w:tcW w:w="3180" w:type="dxa"/>
            <w:tcMar>
              <w:top w:w="0" w:type="dxa"/>
              <w:bottom w:w="0" w:type="dxa"/>
            </w:tcMar>
            <w:vAlign w:val="center"/>
          </w:tcPr>
          <w:p w14:paraId="117822D5" w14:textId="77777777" w:rsidR="003E20DF" w:rsidRDefault="00F01A5C">
            <w:pPr>
              <w:keepNext/>
              <w:keepLines/>
              <w:spacing w:after="0" w:line="240" w:lineRule="auto"/>
            </w:pPr>
            <w:r>
              <w:rPr>
                <w:sz w:val="18"/>
              </w:rPr>
              <w:t>Plaće za prekovremeni rad</w:t>
            </w:r>
          </w:p>
        </w:tc>
        <w:tc>
          <w:tcPr>
            <w:tcW w:w="700" w:type="dxa"/>
            <w:tcMar>
              <w:top w:w="0" w:type="dxa"/>
              <w:bottom w:w="0" w:type="dxa"/>
            </w:tcMar>
            <w:vAlign w:val="center"/>
          </w:tcPr>
          <w:p w14:paraId="48DD0E22" w14:textId="77777777" w:rsidR="003E20DF" w:rsidRDefault="00F01A5C">
            <w:pPr>
              <w:keepNext/>
              <w:keepLines/>
              <w:spacing w:after="0" w:line="240" w:lineRule="auto"/>
            </w:pPr>
            <w:r>
              <w:rPr>
                <w:sz w:val="18"/>
              </w:rPr>
              <w:t>3113</w:t>
            </w:r>
          </w:p>
        </w:tc>
        <w:tc>
          <w:tcPr>
            <w:tcW w:w="1860" w:type="dxa"/>
            <w:tcMar>
              <w:top w:w="0" w:type="dxa"/>
              <w:bottom w:w="0" w:type="dxa"/>
            </w:tcMar>
            <w:vAlign w:val="center"/>
          </w:tcPr>
          <w:p w14:paraId="63741680" w14:textId="77777777" w:rsidR="003E20DF" w:rsidRDefault="00F01A5C">
            <w:pPr>
              <w:keepNext/>
              <w:keepLines/>
              <w:spacing w:after="0" w:line="240" w:lineRule="auto"/>
              <w:jc w:val="right"/>
            </w:pPr>
            <w:r>
              <w:rPr>
                <w:sz w:val="18"/>
              </w:rPr>
              <w:t>13.617,71</w:t>
            </w:r>
          </w:p>
        </w:tc>
        <w:tc>
          <w:tcPr>
            <w:tcW w:w="1860" w:type="dxa"/>
            <w:tcMar>
              <w:top w:w="0" w:type="dxa"/>
              <w:bottom w:w="0" w:type="dxa"/>
            </w:tcMar>
            <w:vAlign w:val="center"/>
          </w:tcPr>
          <w:p w14:paraId="779018C5" w14:textId="77777777" w:rsidR="003E20DF" w:rsidRDefault="00F01A5C">
            <w:pPr>
              <w:keepNext/>
              <w:keepLines/>
              <w:spacing w:after="0" w:line="240" w:lineRule="auto"/>
              <w:jc w:val="right"/>
            </w:pPr>
            <w:r>
              <w:rPr>
                <w:sz w:val="18"/>
              </w:rPr>
              <w:t>66.083,40</w:t>
            </w:r>
          </w:p>
        </w:tc>
        <w:tc>
          <w:tcPr>
            <w:tcW w:w="700" w:type="dxa"/>
            <w:tcMar>
              <w:top w:w="0" w:type="dxa"/>
              <w:bottom w:w="0" w:type="dxa"/>
            </w:tcMar>
            <w:vAlign w:val="center"/>
          </w:tcPr>
          <w:p w14:paraId="6E132976" w14:textId="77777777" w:rsidR="003E20DF" w:rsidRDefault="00F01A5C">
            <w:pPr>
              <w:keepNext/>
              <w:keepLines/>
              <w:spacing w:after="0" w:line="240" w:lineRule="auto"/>
              <w:jc w:val="right"/>
            </w:pPr>
            <w:r>
              <w:rPr>
                <w:sz w:val="18"/>
              </w:rPr>
              <w:t>485,3</w:t>
            </w:r>
          </w:p>
        </w:tc>
      </w:tr>
    </w:tbl>
    <w:p w14:paraId="29FB6542" w14:textId="77777777" w:rsidR="003E20DF" w:rsidRDefault="003E20DF">
      <w:pPr>
        <w:spacing w:after="0"/>
      </w:pPr>
    </w:p>
    <w:p w14:paraId="2C685172" w14:textId="77777777" w:rsidR="003E20DF" w:rsidRDefault="00F01A5C" w:rsidP="009564AA">
      <w:pPr>
        <w:ind w:firstLine="708"/>
      </w:pPr>
      <w:r>
        <w:t>Povećanje u okviru ove šifre u odnosu na isto razdoblje prethodne godine vezano je za trošak prekovremenog rada u okviru određenih radnih mjesta.</w:t>
      </w:r>
    </w:p>
    <w:p w14:paraId="39094C4B" w14:textId="77777777" w:rsidR="003E20DF" w:rsidRDefault="003E20DF"/>
    <w:p w14:paraId="34C0B6D5" w14:textId="77777777" w:rsidR="003E20DF" w:rsidRDefault="00F01A5C">
      <w:pPr>
        <w:keepNext/>
        <w:spacing w:line="240" w:lineRule="auto"/>
        <w:jc w:val="center"/>
      </w:pPr>
      <w:r>
        <w:rPr>
          <w:sz w:val="28"/>
        </w:rPr>
        <w:t>Bilješka 23.</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20DF" w14:paraId="5F12855E" w14:textId="77777777">
        <w:trPr>
          <w:cantSplit/>
        </w:trPr>
        <w:tc>
          <w:tcPr>
            <w:tcW w:w="700" w:type="dxa"/>
            <w:shd w:val="clear" w:color="auto" w:fill="E7F0F9"/>
            <w:tcMar>
              <w:top w:w="0" w:type="dxa"/>
              <w:bottom w:w="0" w:type="dxa"/>
            </w:tcMar>
            <w:vAlign w:val="center"/>
          </w:tcPr>
          <w:p w14:paraId="6032DE32" w14:textId="77777777" w:rsidR="003E20DF" w:rsidRDefault="00F01A5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A8315AF" w14:textId="77777777" w:rsidR="003E20DF" w:rsidRDefault="00F01A5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1E3952B" w14:textId="77777777" w:rsidR="003E20DF" w:rsidRDefault="00F01A5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2DE6E1D" w14:textId="77777777" w:rsidR="003E20DF" w:rsidRDefault="00F01A5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A32F9B2" w14:textId="77777777" w:rsidR="003E20DF" w:rsidRDefault="00F01A5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0A1ED20" w14:textId="77777777" w:rsidR="003E20DF" w:rsidRDefault="00F01A5C">
            <w:pPr>
              <w:keepNext/>
              <w:keepLines/>
              <w:spacing w:after="0" w:line="240" w:lineRule="auto"/>
              <w:jc w:val="center"/>
            </w:pPr>
            <w:r>
              <w:rPr>
                <w:b/>
                <w:sz w:val="18"/>
              </w:rPr>
              <w:t>Indeks (%)</w:t>
            </w:r>
          </w:p>
        </w:tc>
      </w:tr>
      <w:tr w:rsidR="003E20DF" w14:paraId="50A6C7E2" w14:textId="77777777">
        <w:trPr>
          <w:cantSplit/>
          <w:trHeight w:val="560"/>
        </w:trPr>
        <w:tc>
          <w:tcPr>
            <w:tcW w:w="700" w:type="dxa"/>
            <w:tcMar>
              <w:top w:w="0" w:type="dxa"/>
              <w:bottom w:w="0" w:type="dxa"/>
            </w:tcMar>
            <w:vAlign w:val="center"/>
          </w:tcPr>
          <w:p w14:paraId="64934F73" w14:textId="77777777" w:rsidR="003E20DF" w:rsidRDefault="00F01A5C">
            <w:pPr>
              <w:keepNext/>
              <w:keepLines/>
              <w:spacing w:after="0" w:line="240" w:lineRule="auto"/>
            </w:pPr>
            <w:r>
              <w:rPr>
                <w:sz w:val="18"/>
              </w:rPr>
              <w:t>312</w:t>
            </w:r>
          </w:p>
        </w:tc>
        <w:tc>
          <w:tcPr>
            <w:tcW w:w="3180" w:type="dxa"/>
            <w:tcMar>
              <w:top w:w="0" w:type="dxa"/>
              <w:bottom w:w="0" w:type="dxa"/>
            </w:tcMar>
            <w:vAlign w:val="center"/>
          </w:tcPr>
          <w:p w14:paraId="025BCE17" w14:textId="77777777" w:rsidR="003E20DF" w:rsidRDefault="00F01A5C">
            <w:pPr>
              <w:keepNext/>
              <w:keepLines/>
              <w:spacing w:after="0" w:line="240" w:lineRule="auto"/>
            </w:pPr>
            <w:r>
              <w:rPr>
                <w:sz w:val="18"/>
              </w:rPr>
              <w:t>Ostali rashodi za zaposlene</w:t>
            </w:r>
          </w:p>
        </w:tc>
        <w:tc>
          <w:tcPr>
            <w:tcW w:w="700" w:type="dxa"/>
            <w:tcMar>
              <w:top w:w="0" w:type="dxa"/>
              <w:bottom w:w="0" w:type="dxa"/>
            </w:tcMar>
            <w:vAlign w:val="center"/>
          </w:tcPr>
          <w:p w14:paraId="16FDFDA2" w14:textId="77777777" w:rsidR="003E20DF" w:rsidRDefault="00F01A5C">
            <w:pPr>
              <w:keepNext/>
              <w:keepLines/>
              <w:spacing w:after="0" w:line="240" w:lineRule="auto"/>
            </w:pPr>
            <w:r>
              <w:rPr>
                <w:sz w:val="18"/>
              </w:rPr>
              <w:t>312</w:t>
            </w:r>
          </w:p>
        </w:tc>
        <w:tc>
          <w:tcPr>
            <w:tcW w:w="1860" w:type="dxa"/>
            <w:tcMar>
              <w:top w:w="0" w:type="dxa"/>
              <w:bottom w:w="0" w:type="dxa"/>
            </w:tcMar>
            <w:vAlign w:val="center"/>
          </w:tcPr>
          <w:p w14:paraId="28F7E8F3" w14:textId="77777777" w:rsidR="003E20DF" w:rsidRDefault="00F01A5C">
            <w:pPr>
              <w:keepNext/>
              <w:keepLines/>
              <w:spacing w:after="0" w:line="240" w:lineRule="auto"/>
              <w:jc w:val="right"/>
            </w:pPr>
            <w:r>
              <w:rPr>
                <w:sz w:val="18"/>
              </w:rPr>
              <w:t>702.861,70</w:t>
            </w:r>
          </w:p>
        </w:tc>
        <w:tc>
          <w:tcPr>
            <w:tcW w:w="1860" w:type="dxa"/>
            <w:tcMar>
              <w:top w:w="0" w:type="dxa"/>
              <w:bottom w:w="0" w:type="dxa"/>
            </w:tcMar>
            <w:vAlign w:val="center"/>
          </w:tcPr>
          <w:p w14:paraId="49B08C7E" w14:textId="77777777" w:rsidR="003E20DF" w:rsidRDefault="00F01A5C">
            <w:pPr>
              <w:keepNext/>
              <w:keepLines/>
              <w:spacing w:after="0" w:line="240" w:lineRule="auto"/>
              <w:jc w:val="right"/>
            </w:pPr>
            <w:r>
              <w:rPr>
                <w:sz w:val="18"/>
              </w:rPr>
              <w:t>652.251,36</w:t>
            </w:r>
          </w:p>
        </w:tc>
        <w:tc>
          <w:tcPr>
            <w:tcW w:w="700" w:type="dxa"/>
            <w:tcMar>
              <w:top w:w="0" w:type="dxa"/>
              <w:bottom w:w="0" w:type="dxa"/>
            </w:tcMar>
            <w:vAlign w:val="center"/>
          </w:tcPr>
          <w:p w14:paraId="150A8BED" w14:textId="77777777" w:rsidR="003E20DF" w:rsidRDefault="00F01A5C">
            <w:pPr>
              <w:keepNext/>
              <w:keepLines/>
              <w:spacing w:after="0" w:line="240" w:lineRule="auto"/>
              <w:jc w:val="right"/>
            </w:pPr>
            <w:r>
              <w:rPr>
                <w:sz w:val="18"/>
              </w:rPr>
              <w:t>92,8</w:t>
            </w:r>
          </w:p>
        </w:tc>
      </w:tr>
    </w:tbl>
    <w:p w14:paraId="294EF934" w14:textId="77777777" w:rsidR="003E20DF" w:rsidRDefault="003E20DF">
      <w:pPr>
        <w:spacing w:after="0"/>
      </w:pPr>
    </w:p>
    <w:p w14:paraId="55BAFA09" w14:textId="77777777" w:rsidR="003E20DF" w:rsidRDefault="00F01A5C" w:rsidP="009564AA">
      <w:pPr>
        <w:ind w:firstLine="708"/>
        <w:jc w:val="both"/>
      </w:pPr>
      <w:r>
        <w:t>Povećanje u odnosu na prethodno razdoblje vezano je za isplatu materijalnih troškova (uskrsnica i troškovi prehrane) koji su povećani dodatkom II. Kolektivnog ugovora.</w:t>
      </w:r>
    </w:p>
    <w:p w14:paraId="01170350" w14:textId="77777777" w:rsidR="003E20DF" w:rsidRDefault="003E20DF"/>
    <w:p w14:paraId="6AE6D7F2" w14:textId="77777777" w:rsidR="003E20DF" w:rsidRDefault="00F01A5C">
      <w:pPr>
        <w:keepNext/>
        <w:spacing w:line="240" w:lineRule="auto"/>
        <w:jc w:val="center"/>
      </w:pPr>
      <w:r>
        <w:rPr>
          <w:sz w:val="28"/>
        </w:rPr>
        <w:t>Bilješka 24.</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20DF" w14:paraId="300BFC47" w14:textId="77777777">
        <w:trPr>
          <w:cantSplit/>
        </w:trPr>
        <w:tc>
          <w:tcPr>
            <w:tcW w:w="700" w:type="dxa"/>
            <w:shd w:val="clear" w:color="auto" w:fill="E7F0F9"/>
            <w:tcMar>
              <w:top w:w="0" w:type="dxa"/>
              <w:bottom w:w="0" w:type="dxa"/>
            </w:tcMar>
            <w:vAlign w:val="center"/>
          </w:tcPr>
          <w:p w14:paraId="34F74E7C" w14:textId="77777777" w:rsidR="003E20DF" w:rsidRDefault="00F01A5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E8ABBE6" w14:textId="77777777" w:rsidR="003E20DF" w:rsidRDefault="00F01A5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B5719A7" w14:textId="77777777" w:rsidR="003E20DF" w:rsidRDefault="00F01A5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7801739" w14:textId="77777777" w:rsidR="003E20DF" w:rsidRDefault="00F01A5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807D3C6" w14:textId="77777777" w:rsidR="003E20DF" w:rsidRDefault="00F01A5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F544C9E" w14:textId="77777777" w:rsidR="003E20DF" w:rsidRDefault="00F01A5C">
            <w:pPr>
              <w:keepNext/>
              <w:keepLines/>
              <w:spacing w:after="0" w:line="240" w:lineRule="auto"/>
              <w:jc w:val="center"/>
            </w:pPr>
            <w:r>
              <w:rPr>
                <w:b/>
                <w:sz w:val="18"/>
              </w:rPr>
              <w:t>Indeks (%)</w:t>
            </w:r>
          </w:p>
        </w:tc>
      </w:tr>
      <w:tr w:rsidR="003E20DF" w14:paraId="33E8A0D5" w14:textId="77777777">
        <w:trPr>
          <w:cantSplit/>
          <w:trHeight w:val="560"/>
        </w:trPr>
        <w:tc>
          <w:tcPr>
            <w:tcW w:w="700" w:type="dxa"/>
            <w:tcMar>
              <w:top w:w="0" w:type="dxa"/>
              <w:bottom w:w="0" w:type="dxa"/>
            </w:tcMar>
            <w:vAlign w:val="center"/>
          </w:tcPr>
          <w:p w14:paraId="56D9F015" w14:textId="77777777" w:rsidR="003E20DF" w:rsidRDefault="00F01A5C">
            <w:pPr>
              <w:keepNext/>
              <w:keepLines/>
              <w:spacing w:after="0" w:line="240" w:lineRule="auto"/>
            </w:pPr>
            <w:r>
              <w:rPr>
                <w:sz w:val="18"/>
              </w:rPr>
              <w:t>3213</w:t>
            </w:r>
          </w:p>
        </w:tc>
        <w:tc>
          <w:tcPr>
            <w:tcW w:w="3180" w:type="dxa"/>
            <w:tcMar>
              <w:top w:w="0" w:type="dxa"/>
              <w:bottom w:w="0" w:type="dxa"/>
            </w:tcMar>
            <w:vAlign w:val="center"/>
          </w:tcPr>
          <w:p w14:paraId="01DC29A1" w14:textId="77777777" w:rsidR="003E20DF" w:rsidRDefault="00F01A5C">
            <w:pPr>
              <w:keepNext/>
              <w:keepLines/>
              <w:spacing w:after="0" w:line="240" w:lineRule="auto"/>
            </w:pPr>
            <w:r>
              <w:rPr>
                <w:sz w:val="18"/>
              </w:rPr>
              <w:t>Stručno usavršavanje zaposlenika</w:t>
            </w:r>
          </w:p>
        </w:tc>
        <w:tc>
          <w:tcPr>
            <w:tcW w:w="700" w:type="dxa"/>
            <w:tcMar>
              <w:top w:w="0" w:type="dxa"/>
              <w:bottom w:w="0" w:type="dxa"/>
            </w:tcMar>
            <w:vAlign w:val="center"/>
          </w:tcPr>
          <w:p w14:paraId="7635AA5A" w14:textId="77777777" w:rsidR="003E20DF" w:rsidRDefault="00F01A5C">
            <w:pPr>
              <w:keepNext/>
              <w:keepLines/>
              <w:spacing w:after="0" w:line="240" w:lineRule="auto"/>
            </w:pPr>
            <w:r>
              <w:rPr>
                <w:sz w:val="18"/>
              </w:rPr>
              <w:t>3213</w:t>
            </w:r>
          </w:p>
        </w:tc>
        <w:tc>
          <w:tcPr>
            <w:tcW w:w="1860" w:type="dxa"/>
            <w:tcMar>
              <w:top w:w="0" w:type="dxa"/>
              <w:bottom w:w="0" w:type="dxa"/>
            </w:tcMar>
            <w:vAlign w:val="center"/>
          </w:tcPr>
          <w:p w14:paraId="03D526A1" w14:textId="77777777" w:rsidR="003E20DF" w:rsidRDefault="00F01A5C">
            <w:pPr>
              <w:keepNext/>
              <w:keepLines/>
              <w:spacing w:after="0" w:line="240" w:lineRule="auto"/>
              <w:jc w:val="right"/>
            </w:pPr>
            <w:r>
              <w:rPr>
                <w:sz w:val="18"/>
              </w:rPr>
              <w:t>8.942,03</w:t>
            </w:r>
          </w:p>
        </w:tc>
        <w:tc>
          <w:tcPr>
            <w:tcW w:w="1860" w:type="dxa"/>
            <w:tcMar>
              <w:top w:w="0" w:type="dxa"/>
              <w:bottom w:w="0" w:type="dxa"/>
            </w:tcMar>
            <w:vAlign w:val="center"/>
          </w:tcPr>
          <w:p w14:paraId="23379022" w14:textId="77777777" w:rsidR="003E20DF" w:rsidRDefault="00F01A5C">
            <w:pPr>
              <w:keepNext/>
              <w:keepLines/>
              <w:spacing w:after="0" w:line="240" w:lineRule="auto"/>
              <w:jc w:val="right"/>
            </w:pPr>
            <w:r>
              <w:rPr>
                <w:sz w:val="18"/>
              </w:rPr>
              <w:t>15.504,47</w:t>
            </w:r>
          </w:p>
        </w:tc>
        <w:tc>
          <w:tcPr>
            <w:tcW w:w="700" w:type="dxa"/>
            <w:tcMar>
              <w:top w:w="0" w:type="dxa"/>
              <w:bottom w:w="0" w:type="dxa"/>
            </w:tcMar>
            <w:vAlign w:val="center"/>
          </w:tcPr>
          <w:p w14:paraId="25A1312F" w14:textId="77777777" w:rsidR="003E20DF" w:rsidRDefault="00F01A5C">
            <w:pPr>
              <w:keepNext/>
              <w:keepLines/>
              <w:spacing w:after="0" w:line="240" w:lineRule="auto"/>
              <w:jc w:val="right"/>
            </w:pPr>
            <w:r>
              <w:rPr>
                <w:sz w:val="18"/>
              </w:rPr>
              <w:t>173,4</w:t>
            </w:r>
          </w:p>
        </w:tc>
      </w:tr>
    </w:tbl>
    <w:p w14:paraId="7E6ECD2A" w14:textId="77777777" w:rsidR="003E20DF" w:rsidRDefault="003E20DF">
      <w:pPr>
        <w:spacing w:after="0"/>
      </w:pPr>
    </w:p>
    <w:p w14:paraId="7BC1B087" w14:textId="5675C13C" w:rsidR="003E20DF" w:rsidRDefault="00F01A5C" w:rsidP="009564AA">
      <w:pPr>
        <w:ind w:firstLine="708"/>
        <w:jc w:val="both"/>
      </w:pPr>
      <w:r>
        <w:t>Povećanje u okviru ove šifre u odnosu na prethodnu godinu vezan je za specijalističke seminare zaposlenika, za koje je utvrđeno pravo svake dvije godine te polaganja državnih stručnih ispita</w:t>
      </w:r>
      <w:r w:rsidR="00B20751">
        <w:t>.</w:t>
      </w:r>
    </w:p>
    <w:p w14:paraId="509E1704" w14:textId="77777777" w:rsidR="003E20DF" w:rsidRDefault="003E20DF"/>
    <w:p w14:paraId="025172FC" w14:textId="77777777" w:rsidR="00B20751" w:rsidRDefault="00B20751">
      <w:pPr>
        <w:keepNext/>
        <w:spacing w:line="240" w:lineRule="auto"/>
        <w:jc w:val="center"/>
        <w:rPr>
          <w:sz w:val="28"/>
        </w:rPr>
      </w:pPr>
    </w:p>
    <w:p w14:paraId="5BE5C48D" w14:textId="7E82FDD9" w:rsidR="003E20DF" w:rsidRDefault="00F01A5C">
      <w:pPr>
        <w:keepNext/>
        <w:spacing w:line="240" w:lineRule="auto"/>
        <w:jc w:val="center"/>
      </w:pPr>
      <w:r>
        <w:rPr>
          <w:sz w:val="28"/>
        </w:rPr>
        <w:t>Bilješka 25.</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20DF" w14:paraId="58FD6E8E" w14:textId="77777777">
        <w:trPr>
          <w:cantSplit/>
        </w:trPr>
        <w:tc>
          <w:tcPr>
            <w:tcW w:w="700" w:type="dxa"/>
            <w:shd w:val="clear" w:color="auto" w:fill="E7F0F9"/>
            <w:tcMar>
              <w:top w:w="0" w:type="dxa"/>
              <w:bottom w:w="0" w:type="dxa"/>
            </w:tcMar>
            <w:vAlign w:val="center"/>
          </w:tcPr>
          <w:p w14:paraId="18B235BC" w14:textId="77777777" w:rsidR="003E20DF" w:rsidRDefault="00F01A5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7C41EFA" w14:textId="77777777" w:rsidR="003E20DF" w:rsidRDefault="00F01A5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9E520B5" w14:textId="77777777" w:rsidR="003E20DF" w:rsidRDefault="00F01A5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62488F6" w14:textId="77777777" w:rsidR="003E20DF" w:rsidRDefault="00F01A5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2A70A9A" w14:textId="77777777" w:rsidR="003E20DF" w:rsidRDefault="00F01A5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D4E897D" w14:textId="77777777" w:rsidR="003E20DF" w:rsidRDefault="00F01A5C">
            <w:pPr>
              <w:keepNext/>
              <w:keepLines/>
              <w:spacing w:after="0" w:line="240" w:lineRule="auto"/>
              <w:jc w:val="center"/>
            </w:pPr>
            <w:r>
              <w:rPr>
                <w:b/>
                <w:sz w:val="18"/>
              </w:rPr>
              <w:t>Indeks (%)</w:t>
            </w:r>
          </w:p>
        </w:tc>
      </w:tr>
      <w:tr w:rsidR="003E20DF" w14:paraId="2B2A62D2" w14:textId="77777777">
        <w:trPr>
          <w:cantSplit/>
          <w:trHeight w:val="560"/>
        </w:trPr>
        <w:tc>
          <w:tcPr>
            <w:tcW w:w="700" w:type="dxa"/>
            <w:tcMar>
              <w:top w:w="0" w:type="dxa"/>
              <w:bottom w:w="0" w:type="dxa"/>
            </w:tcMar>
            <w:vAlign w:val="center"/>
          </w:tcPr>
          <w:p w14:paraId="0D8717E1" w14:textId="77777777" w:rsidR="003E20DF" w:rsidRDefault="00F01A5C">
            <w:pPr>
              <w:keepNext/>
              <w:keepLines/>
              <w:spacing w:after="0" w:line="240" w:lineRule="auto"/>
            </w:pPr>
            <w:r>
              <w:rPr>
                <w:sz w:val="18"/>
              </w:rPr>
              <w:t>3223</w:t>
            </w:r>
          </w:p>
        </w:tc>
        <w:tc>
          <w:tcPr>
            <w:tcW w:w="3180" w:type="dxa"/>
            <w:tcMar>
              <w:top w:w="0" w:type="dxa"/>
              <w:bottom w:w="0" w:type="dxa"/>
            </w:tcMar>
            <w:vAlign w:val="center"/>
          </w:tcPr>
          <w:p w14:paraId="12ABC17F" w14:textId="77777777" w:rsidR="003E20DF" w:rsidRDefault="00F01A5C">
            <w:pPr>
              <w:keepNext/>
              <w:keepLines/>
              <w:spacing w:after="0" w:line="240" w:lineRule="auto"/>
            </w:pPr>
            <w:r>
              <w:rPr>
                <w:sz w:val="18"/>
              </w:rPr>
              <w:t>Energija</w:t>
            </w:r>
          </w:p>
        </w:tc>
        <w:tc>
          <w:tcPr>
            <w:tcW w:w="700" w:type="dxa"/>
            <w:tcMar>
              <w:top w:w="0" w:type="dxa"/>
              <w:bottom w:w="0" w:type="dxa"/>
            </w:tcMar>
            <w:vAlign w:val="center"/>
          </w:tcPr>
          <w:p w14:paraId="622AE5CC" w14:textId="77777777" w:rsidR="003E20DF" w:rsidRDefault="00F01A5C">
            <w:pPr>
              <w:keepNext/>
              <w:keepLines/>
              <w:spacing w:after="0" w:line="240" w:lineRule="auto"/>
            </w:pPr>
            <w:r>
              <w:rPr>
                <w:sz w:val="18"/>
              </w:rPr>
              <w:t>3223</w:t>
            </w:r>
          </w:p>
        </w:tc>
        <w:tc>
          <w:tcPr>
            <w:tcW w:w="1860" w:type="dxa"/>
            <w:tcMar>
              <w:top w:w="0" w:type="dxa"/>
              <w:bottom w:w="0" w:type="dxa"/>
            </w:tcMar>
            <w:vAlign w:val="center"/>
          </w:tcPr>
          <w:p w14:paraId="22BEB9F3" w14:textId="77777777" w:rsidR="003E20DF" w:rsidRDefault="00F01A5C">
            <w:pPr>
              <w:keepNext/>
              <w:keepLines/>
              <w:spacing w:after="0" w:line="240" w:lineRule="auto"/>
              <w:jc w:val="right"/>
            </w:pPr>
            <w:r>
              <w:rPr>
                <w:sz w:val="18"/>
              </w:rPr>
              <w:t>840.258,22</w:t>
            </w:r>
          </w:p>
        </w:tc>
        <w:tc>
          <w:tcPr>
            <w:tcW w:w="1860" w:type="dxa"/>
            <w:tcMar>
              <w:top w:w="0" w:type="dxa"/>
              <w:bottom w:w="0" w:type="dxa"/>
            </w:tcMar>
            <w:vAlign w:val="center"/>
          </w:tcPr>
          <w:p w14:paraId="09F055E7" w14:textId="77777777" w:rsidR="003E20DF" w:rsidRDefault="00F01A5C">
            <w:pPr>
              <w:keepNext/>
              <w:keepLines/>
              <w:spacing w:after="0" w:line="240" w:lineRule="auto"/>
              <w:jc w:val="right"/>
            </w:pPr>
            <w:r>
              <w:rPr>
                <w:sz w:val="18"/>
              </w:rPr>
              <w:t>950.161,17</w:t>
            </w:r>
          </w:p>
        </w:tc>
        <w:tc>
          <w:tcPr>
            <w:tcW w:w="700" w:type="dxa"/>
            <w:tcMar>
              <w:top w:w="0" w:type="dxa"/>
              <w:bottom w:w="0" w:type="dxa"/>
            </w:tcMar>
            <w:vAlign w:val="center"/>
          </w:tcPr>
          <w:p w14:paraId="641C425A" w14:textId="77777777" w:rsidR="003E20DF" w:rsidRDefault="00F01A5C">
            <w:pPr>
              <w:keepNext/>
              <w:keepLines/>
              <w:spacing w:after="0" w:line="240" w:lineRule="auto"/>
              <w:jc w:val="right"/>
            </w:pPr>
            <w:r>
              <w:rPr>
                <w:sz w:val="18"/>
              </w:rPr>
              <w:t>113,1</w:t>
            </w:r>
          </w:p>
        </w:tc>
      </w:tr>
    </w:tbl>
    <w:p w14:paraId="141DC9E4" w14:textId="77777777" w:rsidR="003E20DF" w:rsidRDefault="003E20DF">
      <w:pPr>
        <w:spacing w:after="0"/>
      </w:pPr>
    </w:p>
    <w:p w14:paraId="55D6DAC3" w14:textId="77777777" w:rsidR="003E20DF" w:rsidRDefault="00F01A5C">
      <w:r>
        <w:t>Povećani su troškovi energenata u odnosu na isto razdoblje prošle godine.</w:t>
      </w:r>
    </w:p>
    <w:p w14:paraId="2E9347C1" w14:textId="77777777" w:rsidR="003E20DF" w:rsidRDefault="003E20DF"/>
    <w:p w14:paraId="63347394" w14:textId="77777777" w:rsidR="003E20DF" w:rsidRDefault="00F01A5C">
      <w:pPr>
        <w:keepNext/>
        <w:spacing w:line="240" w:lineRule="auto"/>
        <w:jc w:val="center"/>
      </w:pPr>
      <w:r>
        <w:rPr>
          <w:sz w:val="28"/>
        </w:rPr>
        <w:t>Bilješka 26.</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20DF" w14:paraId="5A9B6AEF" w14:textId="77777777">
        <w:trPr>
          <w:cantSplit/>
        </w:trPr>
        <w:tc>
          <w:tcPr>
            <w:tcW w:w="700" w:type="dxa"/>
            <w:shd w:val="clear" w:color="auto" w:fill="E7F0F9"/>
            <w:tcMar>
              <w:top w:w="0" w:type="dxa"/>
              <w:bottom w:w="0" w:type="dxa"/>
            </w:tcMar>
            <w:vAlign w:val="center"/>
          </w:tcPr>
          <w:p w14:paraId="6E42E501" w14:textId="77777777" w:rsidR="003E20DF" w:rsidRDefault="00F01A5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7585B51" w14:textId="77777777" w:rsidR="003E20DF" w:rsidRDefault="00F01A5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3B3E0F5" w14:textId="77777777" w:rsidR="003E20DF" w:rsidRDefault="00F01A5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6C9E921" w14:textId="77777777" w:rsidR="003E20DF" w:rsidRDefault="00F01A5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B014D76" w14:textId="77777777" w:rsidR="003E20DF" w:rsidRDefault="00F01A5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C0583BA" w14:textId="77777777" w:rsidR="003E20DF" w:rsidRDefault="00F01A5C">
            <w:pPr>
              <w:keepNext/>
              <w:keepLines/>
              <w:spacing w:after="0" w:line="240" w:lineRule="auto"/>
              <w:jc w:val="center"/>
            </w:pPr>
            <w:r>
              <w:rPr>
                <w:b/>
                <w:sz w:val="18"/>
              </w:rPr>
              <w:t>Indeks (%)</w:t>
            </w:r>
          </w:p>
        </w:tc>
      </w:tr>
      <w:tr w:rsidR="003E20DF" w14:paraId="07AB4BCD" w14:textId="77777777">
        <w:trPr>
          <w:cantSplit/>
          <w:trHeight w:val="560"/>
        </w:trPr>
        <w:tc>
          <w:tcPr>
            <w:tcW w:w="700" w:type="dxa"/>
            <w:tcMar>
              <w:top w:w="0" w:type="dxa"/>
              <w:bottom w:w="0" w:type="dxa"/>
            </w:tcMar>
            <w:vAlign w:val="center"/>
          </w:tcPr>
          <w:p w14:paraId="1762300A" w14:textId="77777777" w:rsidR="003E20DF" w:rsidRDefault="00F01A5C">
            <w:pPr>
              <w:keepNext/>
              <w:keepLines/>
              <w:spacing w:after="0" w:line="240" w:lineRule="auto"/>
            </w:pPr>
            <w:r>
              <w:rPr>
                <w:sz w:val="18"/>
              </w:rPr>
              <w:t>3225</w:t>
            </w:r>
          </w:p>
        </w:tc>
        <w:tc>
          <w:tcPr>
            <w:tcW w:w="3180" w:type="dxa"/>
            <w:tcMar>
              <w:top w:w="0" w:type="dxa"/>
              <w:bottom w:w="0" w:type="dxa"/>
            </w:tcMar>
            <w:vAlign w:val="center"/>
          </w:tcPr>
          <w:p w14:paraId="2CD9A19D" w14:textId="77777777" w:rsidR="003E20DF" w:rsidRDefault="00F01A5C">
            <w:pPr>
              <w:keepNext/>
              <w:keepLines/>
              <w:spacing w:after="0" w:line="240" w:lineRule="auto"/>
            </w:pPr>
            <w:r>
              <w:rPr>
                <w:sz w:val="18"/>
              </w:rPr>
              <w:t>Sitni inventar i autogume</w:t>
            </w:r>
          </w:p>
        </w:tc>
        <w:tc>
          <w:tcPr>
            <w:tcW w:w="700" w:type="dxa"/>
            <w:tcMar>
              <w:top w:w="0" w:type="dxa"/>
              <w:bottom w:w="0" w:type="dxa"/>
            </w:tcMar>
            <w:vAlign w:val="center"/>
          </w:tcPr>
          <w:p w14:paraId="3419BD6E" w14:textId="77777777" w:rsidR="003E20DF" w:rsidRDefault="00F01A5C">
            <w:pPr>
              <w:keepNext/>
              <w:keepLines/>
              <w:spacing w:after="0" w:line="240" w:lineRule="auto"/>
            </w:pPr>
            <w:r>
              <w:rPr>
                <w:sz w:val="18"/>
              </w:rPr>
              <w:t>3225</w:t>
            </w:r>
          </w:p>
        </w:tc>
        <w:tc>
          <w:tcPr>
            <w:tcW w:w="1860" w:type="dxa"/>
            <w:tcMar>
              <w:top w:w="0" w:type="dxa"/>
              <w:bottom w:w="0" w:type="dxa"/>
            </w:tcMar>
            <w:vAlign w:val="center"/>
          </w:tcPr>
          <w:p w14:paraId="5A85040B" w14:textId="77777777" w:rsidR="003E20DF" w:rsidRDefault="00F01A5C">
            <w:pPr>
              <w:keepNext/>
              <w:keepLines/>
              <w:spacing w:after="0" w:line="240" w:lineRule="auto"/>
              <w:jc w:val="right"/>
            </w:pPr>
            <w:r>
              <w:rPr>
                <w:sz w:val="18"/>
              </w:rPr>
              <w:t>44.755,31</w:t>
            </w:r>
          </w:p>
        </w:tc>
        <w:tc>
          <w:tcPr>
            <w:tcW w:w="1860" w:type="dxa"/>
            <w:tcMar>
              <w:top w:w="0" w:type="dxa"/>
              <w:bottom w:w="0" w:type="dxa"/>
            </w:tcMar>
            <w:vAlign w:val="center"/>
          </w:tcPr>
          <w:p w14:paraId="3BF90718" w14:textId="77777777" w:rsidR="003E20DF" w:rsidRDefault="00F01A5C">
            <w:pPr>
              <w:keepNext/>
              <w:keepLines/>
              <w:spacing w:after="0" w:line="240" w:lineRule="auto"/>
              <w:jc w:val="right"/>
            </w:pPr>
            <w:r>
              <w:rPr>
                <w:sz w:val="18"/>
              </w:rPr>
              <w:t>9.904,50</w:t>
            </w:r>
          </w:p>
        </w:tc>
        <w:tc>
          <w:tcPr>
            <w:tcW w:w="700" w:type="dxa"/>
            <w:tcMar>
              <w:top w:w="0" w:type="dxa"/>
              <w:bottom w:w="0" w:type="dxa"/>
            </w:tcMar>
            <w:vAlign w:val="center"/>
          </w:tcPr>
          <w:p w14:paraId="5B91E92D" w14:textId="77777777" w:rsidR="003E20DF" w:rsidRDefault="00F01A5C">
            <w:pPr>
              <w:keepNext/>
              <w:keepLines/>
              <w:spacing w:after="0" w:line="240" w:lineRule="auto"/>
              <w:jc w:val="right"/>
            </w:pPr>
            <w:r>
              <w:rPr>
                <w:sz w:val="18"/>
              </w:rPr>
              <w:t>22,1</w:t>
            </w:r>
          </w:p>
        </w:tc>
      </w:tr>
    </w:tbl>
    <w:p w14:paraId="5187B2E4" w14:textId="77777777" w:rsidR="003E20DF" w:rsidRDefault="003E20DF">
      <w:pPr>
        <w:spacing w:after="0"/>
      </w:pPr>
    </w:p>
    <w:p w14:paraId="5DE6B03D" w14:textId="77777777" w:rsidR="003E20DF" w:rsidRDefault="00F01A5C" w:rsidP="009564AA">
      <w:pPr>
        <w:ind w:firstLine="708"/>
        <w:jc w:val="both"/>
      </w:pPr>
      <w:r>
        <w:t>Značajno Smanjenje u okviru ove šifre u odnosu na isto razdoblje prošle godine vezano za nabavu sitnog inventara.</w:t>
      </w:r>
    </w:p>
    <w:p w14:paraId="76040513" w14:textId="77777777" w:rsidR="003E20DF" w:rsidRDefault="003E20DF"/>
    <w:p w14:paraId="13439FD8" w14:textId="77777777" w:rsidR="003E20DF" w:rsidRDefault="00F01A5C">
      <w:pPr>
        <w:keepNext/>
        <w:spacing w:line="240" w:lineRule="auto"/>
        <w:jc w:val="center"/>
      </w:pPr>
      <w:r>
        <w:rPr>
          <w:sz w:val="28"/>
        </w:rPr>
        <w:t>Bilješka 27.</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20DF" w14:paraId="7B416C76" w14:textId="77777777">
        <w:trPr>
          <w:cantSplit/>
        </w:trPr>
        <w:tc>
          <w:tcPr>
            <w:tcW w:w="700" w:type="dxa"/>
            <w:shd w:val="clear" w:color="auto" w:fill="E7F0F9"/>
            <w:tcMar>
              <w:top w:w="0" w:type="dxa"/>
              <w:bottom w:w="0" w:type="dxa"/>
            </w:tcMar>
            <w:vAlign w:val="center"/>
          </w:tcPr>
          <w:p w14:paraId="2457D15A" w14:textId="77777777" w:rsidR="003E20DF" w:rsidRDefault="00F01A5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8071FCB" w14:textId="77777777" w:rsidR="003E20DF" w:rsidRDefault="00F01A5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45B8E22" w14:textId="77777777" w:rsidR="003E20DF" w:rsidRDefault="00F01A5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7686A98" w14:textId="77777777" w:rsidR="003E20DF" w:rsidRDefault="00F01A5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BCE248F" w14:textId="77777777" w:rsidR="003E20DF" w:rsidRDefault="00F01A5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E5D4589" w14:textId="77777777" w:rsidR="003E20DF" w:rsidRDefault="00F01A5C">
            <w:pPr>
              <w:keepNext/>
              <w:keepLines/>
              <w:spacing w:after="0" w:line="240" w:lineRule="auto"/>
              <w:jc w:val="center"/>
            </w:pPr>
            <w:r>
              <w:rPr>
                <w:b/>
                <w:sz w:val="18"/>
              </w:rPr>
              <w:t>Indeks (%)</w:t>
            </w:r>
          </w:p>
        </w:tc>
      </w:tr>
      <w:tr w:rsidR="003E20DF" w14:paraId="67A75482" w14:textId="77777777">
        <w:trPr>
          <w:cantSplit/>
          <w:trHeight w:val="560"/>
        </w:trPr>
        <w:tc>
          <w:tcPr>
            <w:tcW w:w="700" w:type="dxa"/>
            <w:tcMar>
              <w:top w:w="0" w:type="dxa"/>
              <w:bottom w:w="0" w:type="dxa"/>
            </w:tcMar>
            <w:vAlign w:val="center"/>
          </w:tcPr>
          <w:p w14:paraId="17EAE6F4" w14:textId="77777777" w:rsidR="003E20DF" w:rsidRDefault="00F01A5C">
            <w:pPr>
              <w:keepNext/>
              <w:keepLines/>
              <w:spacing w:after="0" w:line="240" w:lineRule="auto"/>
            </w:pPr>
            <w:r>
              <w:rPr>
                <w:sz w:val="18"/>
              </w:rPr>
              <w:t>3231</w:t>
            </w:r>
          </w:p>
        </w:tc>
        <w:tc>
          <w:tcPr>
            <w:tcW w:w="3180" w:type="dxa"/>
            <w:tcMar>
              <w:top w:w="0" w:type="dxa"/>
              <w:bottom w:w="0" w:type="dxa"/>
            </w:tcMar>
            <w:vAlign w:val="center"/>
          </w:tcPr>
          <w:p w14:paraId="29AACA53" w14:textId="77777777" w:rsidR="003E20DF" w:rsidRDefault="00F01A5C">
            <w:pPr>
              <w:keepNext/>
              <w:keepLines/>
              <w:spacing w:after="0" w:line="240" w:lineRule="auto"/>
            </w:pPr>
            <w:r>
              <w:rPr>
                <w:sz w:val="18"/>
              </w:rPr>
              <w:t>Usluge telefona, interneta, pošte i prijevoza</w:t>
            </w:r>
          </w:p>
        </w:tc>
        <w:tc>
          <w:tcPr>
            <w:tcW w:w="700" w:type="dxa"/>
            <w:tcMar>
              <w:top w:w="0" w:type="dxa"/>
              <w:bottom w:w="0" w:type="dxa"/>
            </w:tcMar>
            <w:vAlign w:val="center"/>
          </w:tcPr>
          <w:p w14:paraId="1820A806" w14:textId="77777777" w:rsidR="003E20DF" w:rsidRDefault="00F01A5C">
            <w:pPr>
              <w:keepNext/>
              <w:keepLines/>
              <w:spacing w:after="0" w:line="240" w:lineRule="auto"/>
            </w:pPr>
            <w:r>
              <w:rPr>
                <w:sz w:val="18"/>
              </w:rPr>
              <w:t>3231</w:t>
            </w:r>
          </w:p>
        </w:tc>
        <w:tc>
          <w:tcPr>
            <w:tcW w:w="1860" w:type="dxa"/>
            <w:tcMar>
              <w:top w:w="0" w:type="dxa"/>
              <w:bottom w:w="0" w:type="dxa"/>
            </w:tcMar>
            <w:vAlign w:val="center"/>
          </w:tcPr>
          <w:p w14:paraId="37DAA7CD" w14:textId="77777777" w:rsidR="003E20DF" w:rsidRDefault="00F01A5C">
            <w:pPr>
              <w:keepNext/>
              <w:keepLines/>
              <w:spacing w:after="0" w:line="240" w:lineRule="auto"/>
              <w:jc w:val="right"/>
            </w:pPr>
            <w:r>
              <w:rPr>
                <w:sz w:val="18"/>
              </w:rPr>
              <w:t>220.728,90</w:t>
            </w:r>
          </w:p>
        </w:tc>
        <w:tc>
          <w:tcPr>
            <w:tcW w:w="1860" w:type="dxa"/>
            <w:tcMar>
              <w:top w:w="0" w:type="dxa"/>
              <w:bottom w:w="0" w:type="dxa"/>
            </w:tcMar>
            <w:vAlign w:val="center"/>
          </w:tcPr>
          <w:p w14:paraId="5A643119" w14:textId="77777777" w:rsidR="003E20DF" w:rsidRDefault="00F01A5C">
            <w:pPr>
              <w:keepNext/>
              <w:keepLines/>
              <w:spacing w:after="0" w:line="240" w:lineRule="auto"/>
              <w:jc w:val="right"/>
            </w:pPr>
            <w:r>
              <w:rPr>
                <w:sz w:val="18"/>
              </w:rPr>
              <w:t>740.385,42</w:t>
            </w:r>
          </w:p>
        </w:tc>
        <w:tc>
          <w:tcPr>
            <w:tcW w:w="700" w:type="dxa"/>
            <w:tcMar>
              <w:top w:w="0" w:type="dxa"/>
              <w:bottom w:w="0" w:type="dxa"/>
            </w:tcMar>
            <w:vAlign w:val="center"/>
          </w:tcPr>
          <w:p w14:paraId="50BC6CD0" w14:textId="77777777" w:rsidR="003E20DF" w:rsidRDefault="00F01A5C">
            <w:pPr>
              <w:keepNext/>
              <w:keepLines/>
              <w:spacing w:after="0" w:line="240" w:lineRule="auto"/>
              <w:jc w:val="right"/>
            </w:pPr>
            <w:r>
              <w:rPr>
                <w:sz w:val="18"/>
              </w:rPr>
              <w:t>335,4</w:t>
            </w:r>
          </w:p>
        </w:tc>
      </w:tr>
    </w:tbl>
    <w:p w14:paraId="1961DD1D" w14:textId="77777777" w:rsidR="003E20DF" w:rsidRDefault="003E20DF">
      <w:pPr>
        <w:spacing w:after="0"/>
      </w:pPr>
    </w:p>
    <w:p w14:paraId="5A6C6BDD" w14:textId="77777777" w:rsidR="003E20DF" w:rsidRDefault="00F01A5C" w:rsidP="009564AA">
      <w:pPr>
        <w:ind w:firstLine="708"/>
        <w:jc w:val="both"/>
      </w:pPr>
      <w:r>
        <w:t>Značajno povećanje u okviru ove šifre rezultat je povećanja troškova poštanskih usluga, posebice u dijelu slanja rješenja vezano za obvezu plaćanja vodne naknade, obavijesti o prometnim i komunalnim kaznama te poslanih opomena i pokrenutih ovrha, kao i metodologije iskazivanja rashoda za prijevoz učenika osnovnih škola na području grada Osijeka. Isti su zaključno s 2024. iskazivani kao trošak proračunskih korisnika-osnovnih škola, obzirom da Grad u cijelosti ugovara i provodi uslugu ovaj trošak od 2025. evidentira se kao rashod Grada.</w:t>
      </w:r>
    </w:p>
    <w:p w14:paraId="0C72DE52" w14:textId="77777777" w:rsidR="003E20DF" w:rsidRDefault="003E20DF"/>
    <w:p w14:paraId="79E1C398" w14:textId="77777777" w:rsidR="00B20751" w:rsidRDefault="00B20751">
      <w:pPr>
        <w:keepNext/>
        <w:spacing w:line="240" w:lineRule="auto"/>
        <w:jc w:val="center"/>
        <w:rPr>
          <w:sz w:val="28"/>
        </w:rPr>
      </w:pPr>
    </w:p>
    <w:p w14:paraId="21EAB60A" w14:textId="77777777" w:rsidR="00B20751" w:rsidRDefault="00B20751">
      <w:pPr>
        <w:keepNext/>
        <w:spacing w:line="240" w:lineRule="auto"/>
        <w:jc w:val="center"/>
        <w:rPr>
          <w:sz w:val="28"/>
        </w:rPr>
      </w:pPr>
    </w:p>
    <w:p w14:paraId="2DC7ABE2" w14:textId="6519980A" w:rsidR="003E20DF" w:rsidRDefault="00F01A5C">
      <w:pPr>
        <w:keepNext/>
        <w:spacing w:line="240" w:lineRule="auto"/>
        <w:jc w:val="center"/>
      </w:pPr>
      <w:r>
        <w:rPr>
          <w:sz w:val="28"/>
        </w:rPr>
        <w:t>Bilješka 28.</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20DF" w14:paraId="514A0FEC" w14:textId="77777777">
        <w:trPr>
          <w:cantSplit/>
        </w:trPr>
        <w:tc>
          <w:tcPr>
            <w:tcW w:w="700" w:type="dxa"/>
            <w:shd w:val="clear" w:color="auto" w:fill="E7F0F9"/>
            <w:tcMar>
              <w:top w:w="0" w:type="dxa"/>
              <w:bottom w:w="0" w:type="dxa"/>
            </w:tcMar>
            <w:vAlign w:val="center"/>
          </w:tcPr>
          <w:p w14:paraId="6019CA80" w14:textId="77777777" w:rsidR="003E20DF" w:rsidRDefault="00F01A5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87A82B1" w14:textId="77777777" w:rsidR="003E20DF" w:rsidRDefault="00F01A5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EF4933E" w14:textId="77777777" w:rsidR="003E20DF" w:rsidRDefault="00F01A5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7C1B4A6" w14:textId="77777777" w:rsidR="003E20DF" w:rsidRDefault="00F01A5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D3C195A" w14:textId="77777777" w:rsidR="003E20DF" w:rsidRDefault="00F01A5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5A54B64" w14:textId="77777777" w:rsidR="003E20DF" w:rsidRDefault="00F01A5C">
            <w:pPr>
              <w:keepNext/>
              <w:keepLines/>
              <w:spacing w:after="0" w:line="240" w:lineRule="auto"/>
              <w:jc w:val="center"/>
            </w:pPr>
            <w:r>
              <w:rPr>
                <w:b/>
                <w:sz w:val="18"/>
              </w:rPr>
              <w:t>Indeks (%)</w:t>
            </w:r>
          </w:p>
        </w:tc>
      </w:tr>
      <w:tr w:rsidR="003E20DF" w14:paraId="53C2E651" w14:textId="77777777">
        <w:trPr>
          <w:cantSplit/>
          <w:trHeight w:val="560"/>
        </w:trPr>
        <w:tc>
          <w:tcPr>
            <w:tcW w:w="700" w:type="dxa"/>
            <w:tcMar>
              <w:top w:w="0" w:type="dxa"/>
              <w:bottom w:w="0" w:type="dxa"/>
            </w:tcMar>
            <w:vAlign w:val="center"/>
          </w:tcPr>
          <w:p w14:paraId="2151AD59" w14:textId="77777777" w:rsidR="003E20DF" w:rsidRDefault="00F01A5C">
            <w:pPr>
              <w:keepNext/>
              <w:keepLines/>
              <w:spacing w:after="0" w:line="240" w:lineRule="auto"/>
            </w:pPr>
            <w:r>
              <w:rPr>
                <w:sz w:val="18"/>
              </w:rPr>
              <w:t>3233</w:t>
            </w:r>
          </w:p>
        </w:tc>
        <w:tc>
          <w:tcPr>
            <w:tcW w:w="3180" w:type="dxa"/>
            <w:tcMar>
              <w:top w:w="0" w:type="dxa"/>
              <w:bottom w:w="0" w:type="dxa"/>
            </w:tcMar>
            <w:vAlign w:val="center"/>
          </w:tcPr>
          <w:p w14:paraId="5573F64A" w14:textId="77777777" w:rsidR="003E20DF" w:rsidRDefault="00F01A5C">
            <w:pPr>
              <w:keepNext/>
              <w:keepLines/>
              <w:spacing w:after="0" w:line="240" w:lineRule="auto"/>
            </w:pPr>
            <w:r>
              <w:rPr>
                <w:sz w:val="18"/>
              </w:rPr>
              <w:t>Usluge promidžbe i informiranja</w:t>
            </w:r>
          </w:p>
        </w:tc>
        <w:tc>
          <w:tcPr>
            <w:tcW w:w="700" w:type="dxa"/>
            <w:tcMar>
              <w:top w:w="0" w:type="dxa"/>
              <w:bottom w:w="0" w:type="dxa"/>
            </w:tcMar>
            <w:vAlign w:val="center"/>
          </w:tcPr>
          <w:p w14:paraId="5CBC4F3F" w14:textId="77777777" w:rsidR="003E20DF" w:rsidRDefault="00F01A5C">
            <w:pPr>
              <w:keepNext/>
              <w:keepLines/>
              <w:spacing w:after="0" w:line="240" w:lineRule="auto"/>
            </w:pPr>
            <w:r>
              <w:rPr>
                <w:sz w:val="18"/>
              </w:rPr>
              <w:t>3233</w:t>
            </w:r>
          </w:p>
        </w:tc>
        <w:tc>
          <w:tcPr>
            <w:tcW w:w="1860" w:type="dxa"/>
            <w:tcMar>
              <w:top w:w="0" w:type="dxa"/>
              <w:bottom w:w="0" w:type="dxa"/>
            </w:tcMar>
            <w:vAlign w:val="center"/>
          </w:tcPr>
          <w:p w14:paraId="3F38FFF9" w14:textId="77777777" w:rsidR="003E20DF" w:rsidRDefault="00F01A5C">
            <w:pPr>
              <w:keepNext/>
              <w:keepLines/>
              <w:spacing w:after="0" w:line="240" w:lineRule="auto"/>
              <w:jc w:val="right"/>
            </w:pPr>
            <w:r>
              <w:rPr>
                <w:sz w:val="18"/>
              </w:rPr>
              <w:t>438.212,34</w:t>
            </w:r>
          </w:p>
        </w:tc>
        <w:tc>
          <w:tcPr>
            <w:tcW w:w="1860" w:type="dxa"/>
            <w:tcMar>
              <w:top w:w="0" w:type="dxa"/>
              <w:bottom w:w="0" w:type="dxa"/>
            </w:tcMar>
            <w:vAlign w:val="center"/>
          </w:tcPr>
          <w:p w14:paraId="08C0D65E" w14:textId="77777777" w:rsidR="003E20DF" w:rsidRDefault="00F01A5C">
            <w:pPr>
              <w:keepNext/>
              <w:keepLines/>
              <w:spacing w:after="0" w:line="240" w:lineRule="auto"/>
              <w:jc w:val="right"/>
            </w:pPr>
            <w:r>
              <w:rPr>
                <w:sz w:val="18"/>
              </w:rPr>
              <w:t>515.231,91</w:t>
            </w:r>
          </w:p>
        </w:tc>
        <w:tc>
          <w:tcPr>
            <w:tcW w:w="700" w:type="dxa"/>
            <w:tcMar>
              <w:top w:w="0" w:type="dxa"/>
              <w:bottom w:w="0" w:type="dxa"/>
            </w:tcMar>
            <w:vAlign w:val="center"/>
          </w:tcPr>
          <w:p w14:paraId="68EC7EA1" w14:textId="77777777" w:rsidR="003E20DF" w:rsidRDefault="00F01A5C">
            <w:pPr>
              <w:keepNext/>
              <w:keepLines/>
              <w:spacing w:after="0" w:line="240" w:lineRule="auto"/>
              <w:jc w:val="right"/>
            </w:pPr>
            <w:r>
              <w:rPr>
                <w:sz w:val="18"/>
              </w:rPr>
              <w:t>117,6</w:t>
            </w:r>
          </w:p>
        </w:tc>
      </w:tr>
    </w:tbl>
    <w:p w14:paraId="770A869E" w14:textId="77777777" w:rsidR="003E20DF" w:rsidRDefault="003E20DF">
      <w:pPr>
        <w:spacing w:after="0"/>
      </w:pPr>
    </w:p>
    <w:p w14:paraId="69DB4964" w14:textId="77777777" w:rsidR="003E20DF" w:rsidRDefault="00F01A5C" w:rsidP="009564AA">
      <w:pPr>
        <w:ind w:firstLine="708"/>
        <w:jc w:val="both"/>
      </w:pPr>
      <w:r>
        <w:t>Povećanje rashoda za usluge promidžbe i informiranja, uz redovne rashode vezane za informiranje javnosti o aktivnostima i projektima u gradu i oglašavanje, vezano je za sponzorstva Grada, provedene kampanje zdravstvenog opismenjavanja i dr.</w:t>
      </w:r>
    </w:p>
    <w:p w14:paraId="1C9B740C" w14:textId="77777777" w:rsidR="003E20DF" w:rsidRDefault="003E20DF"/>
    <w:p w14:paraId="12BFA75C" w14:textId="77777777" w:rsidR="003E20DF" w:rsidRDefault="00F01A5C">
      <w:pPr>
        <w:keepNext/>
        <w:spacing w:line="240" w:lineRule="auto"/>
        <w:jc w:val="center"/>
      </w:pPr>
      <w:r>
        <w:rPr>
          <w:sz w:val="28"/>
        </w:rPr>
        <w:t>Bilješka 29.</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20DF" w14:paraId="0018675A" w14:textId="77777777">
        <w:trPr>
          <w:cantSplit/>
        </w:trPr>
        <w:tc>
          <w:tcPr>
            <w:tcW w:w="700" w:type="dxa"/>
            <w:shd w:val="clear" w:color="auto" w:fill="E7F0F9"/>
            <w:tcMar>
              <w:top w:w="0" w:type="dxa"/>
              <w:bottom w:w="0" w:type="dxa"/>
            </w:tcMar>
            <w:vAlign w:val="center"/>
          </w:tcPr>
          <w:p w14:paraId="5D843456" w14:textId="77777777" w:rsidR="003E20DF" w:rsidRDefault="00F01A5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3D89EC2" w14:textId="77777777" w:rsidR="003E20DF" w:rsidRDefault="00F01A5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84F5850" w14:textId="77777777" w:rsidR="003E20DF" w:rsidRDefault="00F01A5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6FBB4C1" w14:textId="77777777" w:rsidR="003E20DF" w:rsidRDefault="00F01A5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15212B9" w14:textId="77777777" w:rsidR="003E20DF" w:rsidRDefault="00F01A5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4A52F67" w14:textId="77777777" w:rsidR="003E20DF" w:rsidRDefault="00F01A5C">
            <w:pPr>
              <w:keepNext/>
              <w:keepLines/>
              <w:spacing w:after="0" w:line="240" w:lineRule="auto"/>
              <w:jc w:val="center"/>
            </w:pPr>
            <w:r>
              <w:rPr>
                <w:b/>
                <w:sz w:val="18"/>
              </w:rPr>
              <w:t>Indeks (%)</w:t>
            </w:r>
          </w:p>
        </w:tc>
      </w:tr>
      <w:tr w:rsidR="003E20DF" w14:paraId="29E5F2C1" w14:textId="77777777">
        <w:trPr>
          <w:cantSplit/>
          <w:trHeight w:val="560"/>
        </w:trPr>
        <w:tc>
          <w:tcPr>
            <w:tcW w:w="700" w:type="dxa"/>
            <w:tcMar>
              <w:top w:w="0" w:type="dxa"/>
              <w:bottom w:w="0" w:type="dxa"/>
            </w:tcMar>
            <w:vAlign w:val="center"/>
          </w:tcPr>
          <w:p w14:paraId="43418E95" w14:textId="77777777" w:rsidR="003E20DF" w:rsidRDefault="00F01A5C">
            <w:pPr>
              <w:keepNext/>
              <w:keepLines/>
              <w:spacing w:after="0" w:line="240" w:lineRule="auto"/>
            </w:pPr>
            <w:r>
              <w:rPr>
                <w:sz w:val="18"/>
              </w:rPr>
              <w:t>3234</w:t>
            </w:r>
          </w:p>
        </w:tc>
        <w:tc>
          <w:tcPr>
            <w:tcW w:w="3180" w:type="dxa"/>
            <w:tcMar>
              <w:top w:w="0" w:type="dxa"/>
              <w:bottom w:w="0" w:type="dxa"/>
            </w:tcMar>
            <w:vAlign w:val="center"/>
          </w:tcPr>
          <w:p w14:paraId="4507CE62" w14:textId="77777777" w:rsidR="003E20DF" w:rsidRDefault="00F01A5C">
            <w:pPr>
              <w:keepNext/>
              <w:keepLines/>
              <w:spacing w:after="0" w:line="240" w:lineRule="auto"/>
            </w:pPr>
            <w:r>
              <w:rPr>
                <w:sz w:val="18"/>
              </w:rPr>
              <w:t>Komunalne usluge</w:t>
            </w:r>
          </w:p>
        </w:tc>
        <w:tc>
          <w:tcPr>
            <w:tcW w:w="700" w:type="dxa"/>
            <w:tcMar>
              <w:top w:w="0" w:type="dxa"/>
              <w:bottom w:w="0" w:type="dxa"/>
            </w:tcMar>
            <w:vAlign w:val="center"/>
          </w:tcPr>
          <w:p w14:paraId="57856E6D" w14:textId="77777777" w:rsidR="003E20DF" w:rsidRDefault="00F01A5C">
            <w:pPr>
              <w:keepNext/>
              <w:keepLines/>
              <w:spacing w:after="0" w:line="240" w:lineRule="auto"/>
            </w:pPr>
            <w:r>
              <w:rPr>
                <w:sz w:val="18"/>
              </w:rPr>
              <w:t>3234</w:t>
            </w:r>
          </w:p>
        </w:tc>
        <w:tc>
          <w:tcPr>
            <w:tcW w:w="1860" w:type="dxa"/>
            <w:tcMar>
              <w:top w:w="0" w:type="dxa"/>
              <w:bottom w:w="0" w:type="dxa"/>
            </w:tcMar>
            <w:vAlign w:val="center"/>
          </w:tcPr>
          <w:p w14:paraId="34EA29DC" w14:textId="77777777" w:rsidR="003E20DF" w:rsidRDefault="00F01A5C">
            <w:pPr>
              <w:keepNext/>
              <w:keepLines/>
              <w:spacing w:after="0" w:line="240" w:lineRule="auto"/>
              <w:jc w:val="right"/>
            </w:pPr>
            <w:r>
              <w:rPr>
                <w:sz w:val="18"/>
              </w:rPr>
              <w:t>402.175,71</w:t>
            </w:r>
          </w:p>
        </w:tc>
        <w:tc>
          <w:tcPr>
            <w:tcW w:w="1860" w:type="dxa"/>
            <w:tcMar>
              <w:top w:w="0" w:type="dxa"/>
              <w:bottom w:w="0" w:type="dxa"/>
            </w:tcMar>
            <w:vAlign w:val="center"/>
          </w:tcPr>
          <w:p w14:paraId="1654A3BB" w14:textId="77777777" w:rsidR="003E20DF" w:rsidRDefault="00F01A5C">
            <w:pPr>
              <w:keepNext/>
              <w:keepLines/>
              <w:spacing w:after="0" w:line="240" w:lineRule="auto"/>
              <w:jc w:val="right"/>
            </w:pPr>
            <w:r>
              <w:rPr>
                <w:sz w:val="18"/>
              </w:rPr>
              <w:t>505.084,70</w:t>
            </w:r>
          </w:p>
        </w:tc>
        <w:tc>
          <w:tcPr>
            <w:tcW w:w="700" w:type="dxa"/>
            <w:tcMar>
              <w:top w:w="0" w:type="dxa"/>
              <w:bottom w:w="0" w:type="dxa"/>
            </w:tcMar>
            <w:vAlign w:val="center"/>
          </w:tcPr>
          <w:p w14:paraId="481A095C" w14:textId="77777777" w:rsidR="003E20DF" w:rsidRDefault="00F01A5C">
            <w:pPr>
              <w:keepNext/>
              <w:keepLines/>
              <w:spacing w:after="0" w:line="240" w:lineRule="auto"/>
              <w:jc w:val="right"/>
            </w:pPr>
            <w:r>
              <w:rPr>
                <w:sz w:val="18"/>
              </w:rPr>
              <w:t>125,6</w:t>
            </w:r>
          </w:p>
        </w:tc>
      </w:tr>
    </w:tbl>
    <w:p w14:paraId="759E91E7" w14:textId="77777777" w:rsidR="003E20DF" w:rsidRDefault="003E20DF">
      <w:pPr>
        <w:spacing w:after="0"/>
      </w:pPr>
    </w:p>
    <w:p w14:paraId="5F50492C" w14:textId="44566185" w:rsidR="003E20DF" w:rsidRDefault="00F01A5C" w:rsidP="00B20751">
      <w:pPr>
        <w:jc w:val="both"/>
      </w:pPr>
      <w:r>
        <w:t>Povećanje rashoda vezano je za rast troškova pričuve u objektima gdje je Grad vlasnik/suvlasnik</w:t>
      </w:r>
      <w:r w:rsidR="00B20751">
        <w:t>.</w:t>
      </w:r>
    </w:p>
    <w:p w14:paraId="2613F95F" w14:textId="77777777" w:rsidR="003E20DF" w:rsidRDefault="003E20DF"/>
    <w:p w14:paraId="675289ED" w14:textId="77777777" w:rsidR="003E20DF" w:rsidRDefault="00F01A5C">
      <w:pPr>
        <w:keepNext/>
        <w:spacing w:line="240" w:lineRule="auto"/>
        <w:jc w:val="center"/>
      </w:pPr>
      <w:r>
        <w:rPr>
          <w:sz w:val="28"/>
        </w:rPr>
        <w:t>Bilješka 30.</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20DF" w14:paraId="54D8DC74" w14:textId="77777777">
        <w:trPr>
          <w:cantSplit/>
        </w:trPr>
        <w:tc>
          <w:tcPr>
            <w:tcW w:w="700" w:type="dxa"/>
            <w:shd w:val="clear" w:color="auto" w:fill="E7F0F9"/>
            <w:tcMar>
              <w:top w:w="0" w:type="dxa"/>
              <w:bottom w:w="0" w:type="dxa"/>
            </w:tcMar>
            <w:vAlign w:val="center"/>
          </w:tcPr>
          <w:p w14:paraId="64822FD3" w14:textId="77777777" w:rsidR="003E20DF" w:rsidRDefault="00F01A5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1718C9D" w14:textId="77777777" w:rsidR="003E20DF" w:rsidRDefault="00F01A5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C2C5082" w14:textId="77777777" w:rsidR="003E20DF" w:rsidRDefault="00F01A5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B194D3D" w14:textId="77777777" w:rsidR="003E20DF" w:rsidRDefault="00F01A5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4B4F7F9" w14:textId="77777777" w:rsidR="003E20DF" w:rsidRDefault="00F01A5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D99EAFE" w14:textId="77777777" w:rsidR="003E20DF" w:rsidRDefault="00F01A5C">
            <w:pPr>
              <w:keepNext/>
              <w:keepLines/>
              <w:spacing w:after="0" w:line="240" w:lineRule="auto"/>
              <w:jc w:val="center"/>
            </w:pPr>
            <w:r>
              <w:rPr>
                <w:b/>
                <w:sz w:val="18"/>
              </w:rPr>
              <w:t>Indeks (%)</w:t>
            </w:r>
          </w:p>
        </w:tc>
      </w:tr>
      <w:tr w:rsidR="003E20DF" w14:paraId="2C4C51DC" w14:textId="77777777">
        <w:trPr>
          <w:cantSplit/>
          <w:trHeight w:val="560"/>
        </w:trPr>
        <w:tc>
          <w:tcPr>
            <w:tcW w:w="700" w:type="dxa"/>
            <w:tcMar>
              <w:top w:w="0" w:type="dxa"/>
              <w:bottom w:w="0" w:type="dxa"/>
            </w:tcMar>
            <w:vAlign w:val="center"/>
          </w:tcPr>
          <w:p w14:paraId="1E8E213D" w14:textId="77777777" w:rsidR="003E20DF" w:rsidRDefault="00F01A5C">
            <w:pPr>
              <w:keepNext/>
              <w:keepLines/>
              <w:spacing w:after="0" w:line="240" w:lineRule="auto"/>
            </w:pPr>
            <w:r>
              <w:rPr>
                <w:sz w:val="18"/>
              </w:rPr>
              <w:t>3235</w:t>
            </w:r>
          </w:p>
        </w:tc>
        <w:tc>
          <w:tcPr>
            <w:tcW w:w="3180" w:type="dxa"/>
            <w:tcMar>
              <w:top w:w="0" w:type="dxa"/>
              <w:bottom w:w="0" w:type="dxa"/>
            </w:tcMar>
            <w:vAlign w:val="center"/>
          </w:tcPr>
          <w:p w14:paraId="4D9DE57F" w14:textId="77777777" w:rsidR="003E20DF" w:rsidRDefault="00F01A5C">
            <w:pPr>
              <w:keepNext/>
              <w:keepLines/>
              <w:spacing w:after="0" w:line="240" w:lineRule="auto"/>
            </w:pPr>
            <w:r>
              <w:rPr>
                <w:sz w:val="18"/>
              </w:rPr>
              <w:t>Zakupnine i najamnine</w:t>
            </w:r>
          </w:p>
        </w:tc>
        <w:tc>
          <w:tcPr>
            <w:tcW w:w="700" w:type="dxa"/>
            <w:tcMar>
              <w:top w:w="0" w:type="dxa"/>
              <w:bottom w:w="0" w:type="dxa"/>
            </w:tcMar>
            <w:vAlign w:val="center"/>
          </w:tcPr>
          <w:p w14:paraId="3D7A05CA" w14:textId="77777777" w:rsidR="003E20DF" w:rsidRDefault="00F01A5C">
            <w:pPr>
              <w:keepNext/>
              <w:keepLines/>
              <w:spacing w:after="0" w:line="240" w:lineRule="auto"/>
            </w:pPr>
            <w:r>
              <w:rPr>
                <w:sz w:val="18"/>
              </w:rPr>
              <w:t>3235</w:t>
            </w:r>
          </w:p>
        </w:tc>
        <w:tc>
          <w:tcPr>
            <w:tcW w:w="1860" w:type="dxa"/>
            <w:tcMar>
              <w:top w:w="0" w:type="dxa"/>
              <w:bottom w:w="0" w:type="dxa"/>
            </w:tcMar>
            <w:vAlign w:val="center"/>
          </w:tcPr>
          <w:p w14:paraId="0D3CE942" w14:textId="77777777" w:rsidR="003E20DF" w:rsidRDefault="00F01A5C">
            <w:pPr>
              <w:keepNext/>
              <w:keepLines/>
              <w:spacing w:after="0" w:line="240" w:lineRule="auto"/>
              <w:jc w:val="right"/>
            </w:pPr>
            <w:r>
              <w:rPr>
                <w:sz w:val="18"/>
              </w:rPr>
              <w:t>295.718,55</w:t>
            </w:r>
          </w:p>
        </w:tc>
        <w:tc>
          <w:tcPr>
            <w:tcW w:w="1860" w:type="dxa"/>
            <w:tcMar>
              <w:top w:w="0" w:type="dxa"/>
              <w:bottom w:w="0" w:type="dxa"/>
            </w:tcMar>
            <w:vAlign w:val="center"/>
          </w:tcPr>
          <w:p w14:paraId="74CD3867" w14:textId="77777777" w:rsidR="003E20DF" w:rsidRDefault="00F01A5C">
            <w:pPr>
              <w:keepNext/>
              <w:keepLines/>
              <w:spacing w:after="0" w:line="240" w:lineRule="auto"/>
              <w:jc w:val="right"/>
            </w:pPr>
            <w:r>
              <w:rPr>
                <w:sz w:val="18"/>
              </w:rPr>
              <w:t>326.614,10</w:t>
            </w:r>
          </w:p>
        </w:tc>
        <w:tc>
          <w:tcPr>
            <w:tcW w:w="700" w:type="dxa"/>
            <w:tcMar>
              <w:top w:w="0" w:type="dxa"/>
              <w:bottom w:w="0" w:type="dxa"/>
            </w:tcMar>
            <w:vAlign w:val="center"/>
          </w:tcPr>
          <w:p w14:paraId="7FF9C6CB" w14:textId="77777777" w:rsidR="003E20DF" w:rsidRDefault="00F01A5C">
            <w:pPr>
              <w:keepNext/>
              <w:keepLines/>
              <w:spacing w:after="0" w:line="240" w:lineRule="auto"/>
              <w:jc w:val="right"/>
            </w:pPr>
            <w:r>
              <w:rPr>
                <w:sz w:val="18"/>
              </w:rPr>
              <w:t>110,4</w:t>
            </w:r>
          </w:p>
        </w:tc>
      </w:tr>
    </w:tbl>
    <w:p w14:paraId="06ED1EFF" w14:textId="77777777" w:rsidR="003E20DF" w:rsidRDefault="003E20DF">
      <w:pPr>
        <w:spacing w:after="0"/>
      </w:pPr>
    </w:p>
    <w:p w14:paraId="51CAC758" w14:textId="77777777" w:rsidR="003E20DF" w:rsidRDefault="00F01A5C">
      <w:r>
        <w:t>Povećanje u okviru ove šifre odnosi se na najam prostora, najam pisača isl.</w:t>
      </w:r>
    </w:p>
    <w:p w14:paraId="6B4E6956" w14:textId="77777777" w:rsidR="003E20DF" w:rsidRDefault="003E20DF"/>
    <w:p w14:paraId="3A2BF770" w14:textId="77777777" w:rsidR="003E20DF" w:rsidRDefault="00F01A5C">
      <w:pPr>
        <w:keepNext/>
        <w:spacing w:line="240" w:lineRule="auto"/>
        <w:jc w:val="center"/>
      </w:pPr>
      <w:r>
        <w:rPr>
          <w:sz w:val="28"/>
        </w:rPr>
        <w:t>Bilješka 31.</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20DF" w14:paraId="22449716" w14:textId="77777777">
        <w:trPr>
          <w:cantSplit/>
        </w:trPr>
        <w:tc>
          <w:tcPr>
            <w:tcW w:w="700" w:type="dxa"/>
            <w:shd w:val="clear" w:color="auto" w:fill="E7F0F9"/>
            <w:tcMar>
              <w:top w:w="0" w:type="dxa"/>
              <w:bottom w:w="0" w:type="dxa"/>
            </w:tcMar>
            <w:vAlign w:val="center"/>
          </w:tcPr>
          <w:p w14:paraId="43C04C71" w14:textId="77777777" w:rsidR="003E20DF" w:rsidRDefault="00F01A5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3417334" w14:textId="77777777" w:rsidR="003E20DF" w:rsidRDefault="00F01A5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0ED57CD" w14:textId="77777777" w:rsidR="003E20DF" w:rsidRDefault="00F01A5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C4E1901" w14:textId="77777777" w:rsidR="003E20DF" w:rsidRDefault="00F01A5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B222AC9" w14:textId="77777777" w:rsidR="003E20DF" w:rsidRDefault="00F01A5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8D01864" w14:textId="77777777" w:rsidR="003E20DF" w:rsidRDefault="00F01A5C">
            <w:pPr>
              <w:keepNext/>
              <w:keepLines/>
              <w:spacing w:after="0" w:line="240" w:lineRule="auto"/>
              <w:jc w:val="center"/>
            </w:pPr>
            <w:r>
              <w:rPr>
                <w:b/>
                <w:sz w:val="18"/>
              </w:rPr>
              <w:t>Indeks (%)</w:t>
            </w:r>
          </w:p>
        </w:tc>
      </w:tr>
      <w:tr w:rsidR="003E20DF" w14:paraId="2E387DC9" w14:textId="77777777">
        <w:trPr>
          <w:cantSplit/>
          <w:trHeight w:val="560"/>
        </w:trPr>
        <w:tc>
          <w:tcPr>
            <w:tcW w:w="700" w:type="dxa"/>
            <w:tcMar>
              <w:top w:w="0" w:type="dxa"/>
              <w:bottom w:w="0" w:type="dxa"/>
            </w:tcMar>
            <w:vAlign w:val="center"/>
          </w:tcPr>
          <w:p w14:paraId="3C64E9E7" w14:textId="77777777" w:rsidR="003E20DF" w:rsidRDefault="00F01A5C">
            <w:pPr>
              <w:keepNext/>
              <w:keepLines/>
              <w:spacing w:after="0" w:line="240" w:lineRule="auto"/>
            </w:pPr>
            <w:r>
              <w:rPr>
                <w:sz w:val="18"/>
              </w:rPr>
              <w:t>3236</w:t>
            </w:r>
          </w:p>
        </w:tc>
        <w:tc>
          <w:tcPr>
            <w:tcW w:w="3180" w:type="dxa"/>
            <w:tcMar>
              <w:top w:w="0" w:type="dxa"/>
              <w:bottom w:w="0" w:type="dxa"/>
            </w:tcMar>
            <w:vAlign w:val="center"/>
          </w:tcPr>
          <w:p w14:paraId="066E24A1" w14:textId="77777777" w:rsidR="003E20DF" w:rsidRDefault="00F01A5C">
            <w:pPr>
              <w:keepNext/>
              <w:keepLines/>
              <w:spacing w:after="0" w:line="240" w:lineRule="auto"/>
            </w:pPr>
            <w:r>
              <w:rPr>
                <w:sz w:val="18"/>
              </w:rPr>
              <w:t>Zdravstvene i veterinarske usluge</w:t>
            </w:r>
          </w:p>
        </w:tc>
        <w:tc>
          <w:tcPr>
            <w:tcW w:w="700" w:type="dxa"/>
            <w:tcMar>
              <w:top w:w="0" w:type="dxa"/>
              <w:bottom w:w="0" w:type="dxa"/>
            </w:tcMar>
            <w:vAlign w:val="center"/>
          </w:tcPr>
          <w:p w14:paraId="4A7FE292" w14:textId="77777777" w:rsidR="003E20DF" w:rsidRDefault="00F01A5C">
            <w:pPr>
              <w:keepNext/>
              <w:keepLines/>
              <w:spacing w:after="0" w:line="240" w:lineRule="auto"/>
            </w:pPr>
            <w:r>
              <w:rPr>
                <w:sz w:val="18"/>
              </w:rPr>
              <w:t>3236</w:t>
            </w:r>
          </w:p>
        </w:tc>
        <w:tc>
          <w:tcPr>
            <w:tcW w:w="1860" w:type="dxa"/>
            <w:tcMar>
              <w:top w:w="0" w:type="dxa"/>
              <w:bottom w:w="0" w:type="dxa"/>
            </w:tcMar>
            <w:vAlign w:val="center"/>
          </w:tcPr>
          <w:p w14:paraId="2723C9B7" w14:textId="77777777" w:rsidR="003E20DF" w:rsidRDefault="00F01A5C">
            <w:pPr>
              <w:keepNext/>
              <w:keepLines/>
              <w:spacing w:after="0" w:line="240" w:lineRule="auto"/>
              <w:jc w:val="right"/>
            </w:pPr>
            <w:r>
              <w:rPr>
                <w:sz w:val="18"/>
              </w:rPr>
              <w:t>1.431.460,15</w:t>
            </w:r>
          </w:p>
        </w:tc>
        <w:tc>
          <w:tcPr>
            <w:tcW w:w="1860" w:type="dxa"/>
            <w:tcMar>
              <w:top w:w="0" w:type="dxa"/>
              <w:bottom w:w="0" w:type="dxa"/>
            </w:tcMar>
            <w:vAlign w:val="center"/>
          </w:tcPr>
          <w:p w14:paraId="22FE40AF" w14:textId="77777777" w:rsidR="003E20DF" w:rsidRDefault="00F01A5C">
            <w:pPr>
              <w:keepNext/>
              <w:keepLines/>
              <w:spacing w:after="0" w:line="240" w:lineRule="auto"/>
              <w:jc w:val="right"/>
            </w:pPr>
            <w:r>
              <w:rPr>
                <w:sz w:val="18"/>
              </w:rPr>
              <w:t>624.961,12</w:t>
            </w:r>
          </w:p>
        </w:tc>
        <w:tc>
          <w:tcPr>
            <w:tcW w:w="700" w:type="dxa"/>
            <w:tcMar>
              <w:top w:w="0" w:type="dxa"/>
              <w:bottom w:w="0" w:type="dxa"/>
            </w:tcMar>
            <w:vAlign w:val="center"/>
          </w:tcPr>
          <w:p w14:paraId="0F042CD4" w14:textId="77777777" w:rsidR="003E20DF" w:rsidRDefault="00F01A5C">
            <w:pPr>
              <w:keepNext/>
              <w:keepLines/>
              <w:spacing w:after="0" w:line="240" w:lineRule="auto"/>
              <w:jc w:val="right"/>
            </w:pPr>
            <w:r>
              <w:rPr>
                <w:sz w:val="18"/>
              </w:rPr>
              <w:t>43,7</w:t>
            </w:r>
          </w:p>
        </w:tc>
      </w:tr>
    </w:tbl>
    <w:p w14:paraId="483E4769" w14:textId="77777777" w:rsidR="003E20DF" w:rsidRDefault="003E20DF">
      <w:pPr>
        <w:spacing w:after="0"/>
      </w:pPr>
    </w:p>
    <w:p w14:paraId="18465440" w14:textId="40E7F486" w:rsidR="003E20DF" w:rsidRDefault="00F01A5C" w:rsidP="009564AA">
      <w:pPr>
        <w:ind w:firstLine="708"/>
        <w:jc w:val="both"/>
      </w:pPr>
      <w:r>
        <w:t>Značajno smanjenje u okviru ove šifre rashoda vezano je za postupak tretiranja komaraca koji je obavljan u značajno manjem obujmu uslijed nepovoljnih vremenskih uvjeta za razvoj komaraca</w:t>
      </w:r>
      <w:r w:rsidR="00B20751">
        <w:t>.</w:t>
      </w:r>
    </w:p>
    <w:p w14:paraId="5D1ACB34" w14:textId="77777777" w:rsidR="003E20DF" w:rsidRDefault="003E20DF"/>
    <w:p w14:paraId="67F26D51" w14:textId="77777777" w:rsidR="003E20DF" w:rsidRDefault="00F01A5C">
      <w:pPr>
        <w:keepNext/>
        <w:spacing w:line="240" w:lineRule="auto"/>
        <w:jc w:val="center"/>
      </w:pPr>
      <w:r>
        <w:rPr>
          <w:sz w:val="28"/>
        </w:rPr>
        <w:t>Bilješka 32.</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20DF" w14:paraId="05EF86E8" w14:textId="77777777">
        <w:trPr>
          <w:cantSplit/>
        </w:trPr>
        <w:tc>
          <w:tcPr>
            <w:tcW w:w="700" w:type="dxa"/>
            <w:shd w:val="clear" w:color="auto" w:fill="E7F0F9"/>
            <w:tcMar>
              <w:top w:w="0" w:type="dxa"/>
              <w:bottom w:w="0" w:type="dxa"/>
            </w:tcMar>
            <w:vAlign w:val="center"/>
          </w:tcPr>
          <w:p w14:paraId="5A58BE0D" w14:textId="77777777" w:rsidR="003E20DF" w:rsidRDefault="00F01A5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97FDBB5" w14:textId="77777777" w:rsidR="003E20DF" w:rsidRDefault="00F01A5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91C6035" w14:textId="77777777" w:rsidR="003E20DF" w:rsidRDefault="00F01A5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0A3A699" w14:textId="77777777" w:rsidR="003E20DF" w:rsidRDefault="00F01A5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13B1127" w14:textId="77777777" w:rsidR="003E20DF" w:rsidRDefault="00F01A5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20DC948" w14:textId="77777777" w:rsidR="003E20DF" w:rsidRDefault="00F01A5C">
            <w:pPr>
              <w:keepNext/>
              <w:keepLines/>
              <w:spacing w:after="0" w:line="240" w:lineRule="auto"/>
              <w:jc w:val="center"/>
            </w:pPr>
            <w:r>
              <w:rPr>
                <w:b/>
                <w:sz w:val="18"/>
              </w:rPr>
              <w:t>Indeks (%)</w:t>
            </w:r>
          </w:p>
        </w:tc>
      </w:tr>
      <w:tr w:rsidR="003E20DF" w14:paraId="589BE17D" w14:textId="77777777">
        <w:trPr>
          <w:cantSplit/>
          <w:trHeight w:val="560"/>
        </w:trPr>
        <w:tc>
          <w:tcPr>
            <w:tcW w:w="700" w:type="dxa"/>
            <w:tcMar>
              <w:top w:w="0" w:type="dxa"/>
              <w:bottom w:w="0" w:type="dxa"/>
            </w:tcMar>
            <w:vAlign w:val="center"/>
          </w:tcPr>
          <w:p w14:paraId="51172B27" w14:textId="77777777" w:rsidR="003E20DF" w:rsidRDefault="00F01A5C">
            <w:pPr>
              <w:keepNext/>
              <w:keepLines/>
              <w:spacing w:after="0" w:line="240" w:lineRule="auto"/>
            </w:pPr>
            <w:r>
              <w:rPr>
                <w:sz w:val="18"/>
              </w:rPr>
              <w:t>3237</w:t>
            </w:r>
          </w:p>
        </w:tc>
        <w:tc>
          <w:tcPr>
            <w:tcW w:w="3180" w:type="dxa"/>
            <w:tcMar>
              <w:top w:w="0" w:type="dxa"/>
              <w:bottom w:w="0" w:type="dxa"/>
            </w:tcMar>
            <w:vAlign w:val="center"/>
          </w:tcPr>
          <w:p w14:paraId="00DF4BD7" w14:textId="77777777" w:rsidR="003E20DF" w:rsidRDefault="00F01A5C">
            <w:pPr>
              <w:keepNext/>
              <w:keepLines/>
              <w:spacing w:after="0" w:line="240" w:lineRule="auto"/>
            </w:pPr>
            <w:r>
              <w:rPr>
                <w:sz w:val="18"/>
              </w:rPr>
              <w:t>Intelektualne i osobne usluge</w:t>
            </w:r>
          </w:p>
        </w:tc>
        <w:tc>
          <w:tcPr>
            <w:tcW w:w="700" w:type="dxa"/>
            <w:tcMar>
              <w:top w:w="0" w:type="dxa"/>
              <w:bottom w:w="0" w:type="dxa"/>
            </w:tcMar>
            <w:vAlign w:val="center"/>
          </w:tcPr>
          <w:p w14:paraId="116D3453" w14:textId="77777777" w:rsidR="003E20DF" w:rsidRDefault="00F01A5C">
            <w:pPr>
              <w:keepNext/>
              <w:keepLines/>
              <w:spacing w:after="0" w:line="240" w:lineRule="auto"/>
            </w:pPr>
            <w:r>
              <w:rPr>
                <w:sz w:val="18"/>
              </w:rPr>
              <w:t>3237</w:t>
            </w:r>
          </w:p>
        </w:tc>
        <w:tc>
          <w:tcPr>
            <w:tcW w:w="1860" w:type="dxa"/>
            <w:tcMar>
              <w:top w:w="0" w:type="dxa"/>
              <w:bottom w:w="0" w:type="dxa"/>
            </w:tcMar>
            <w:vAlign w:val="center"/>
          </w:tcPr>
          <w:p w14:paraId="257D16FE" w14:textId="77777777" w:rsidR="003E20DF" w:rsidRDefault="00F01A5C">
            <w:pPr>
              <w:keepNext/>
              <w:keepLines/>
              <w:spacing w:after="0" w:line="240" w:lineRule="auto"/>
              <w:jc w:val="right"/>
            </w:pPr>
            <w:r>
              <w:rPr>
                <w:sz w:val="18"/>
              </w:rPr>
              <w:t>773.110,90</w:t>
            </w:r>
          </w:p>
        </w:tc>
        <w:tc>
          <w:tcPr>
            <w:tcW w:w="1860" w:type="dxa"/>
            <w:tcMar>
              <w:top w:w="0" w:type="dxa"/>
              <w:bottom w:w="0" w:type="dxa"/>
            </w:tcMar>
            <w:vAlign w:val="center"/>
          </w:tcPr>
          <w:p w14:paraId="4AE7CE26" w14:textId="77777777" w:rsidR="003E20DF" w:rsidRDefault="00F01A5C">
            <w:pPr>
              <w:keepNext/>
              <w:keepLines/>
              <w:spacing w:after="0" w:line="240" w:lineRule="auto"/>
              <w:jc w:val="right"/>
            </w:pPr>
            <w:r>
              <w:rPr>
                <w:sz w:val="18"/>
              </w:rPr>
              <w:t>1.020.878,96</w:t>
            </w:r>
          </w:p>
        </w:tc>
        <w:tc>
          <w:tcPr>
            <w:tcW w:w="700" w:type="dxa"/>
            <w:tcMar>
              <w:top w:w="0" w:type="dxa"/>
              <w:bottom w:w="0" w:type="dxa"/>
            </w:tcMar>
            <w:vAlign w:val="center"/>
          </w:tcPr>
          <w:p w14:paraId="39DC6F05" w14:textId="77777777" w:rsidR="003E20DF" w:rsidRDefault="00F01A5C">
            <w:pPr>
              <w:keepNext/>
              <w:keepLines/>
              <w:spacing w:after="0" w:line="240" w:lineRule="auto"/>
              <w:jc w:val="right"/>
            </w:pPr>
            <w:r>
              <w:rPr>
                <w:sz w:val="18"/>
              </w:rPr>
              <w:t>132,0</w:t>
            </w:r>
          </w:p>
        </w:tc>
      </w:tr>
    </w:tbl>
    <w:p w14:paraId="6F266DF8" w14:textId="77777777" w:rsidR="003E20DF" w:rsidRDefault="003E20DF">
      <w:pPr>
        <w:spacing w:after="0"/>
      </w:pPr>
    </w:p>
    <w:p w14:paraId="3055C313" w14:textId="77777777" w:rsidR="003E20DF" w:rsidRDefault="00F01A5C" w:rsidP="009564AA">
      <w:pPr>
        <w:ind w:firstLine="708"/>
        <w:jc w:val="both"/>
      </w:pPr>
      <w:r>
        <w:t>Rast u okviru ove šifre odnosi se na rashode autorskih honorara u svrhu obilježavanja Nove godine, manifestacija Pokladno jahanje u Tenji, ugovori o djelu vezani za posebne programe u osnovnim školama ADHD i Osigurajmo im jednakost, usluge studenskog servisa, usluge odvjetnika, izrada stručnih studija i sl. Značajniji rast je na odvjetničkim uslugama u iznosu 65.492,50 eura koje su vezane za tužbu s HT-om za naknadu za pravo puta (zakup DTK kablova).</w:t>
      </w:r>
    </w:p>
    <w:p w14:paraId="65296CAB" w14:textId="77777777" w:rsidR="003E20DF" w:rsidRDefault="003E20DF"/>
    <w:p w14:paraId="013AC1E1" w14:textId="77777777" w:rsidR="003E20DF" w:rsidRDefault="00F01A5C">
      <w:pPr>
        <w:keepNext/>
        <w:spacing w:line="240" w:lineRule="auto"/>
        <w:jc w:val="center"/>
      </w:pPr>
      <w:r>
        <w:rPr>
          <w:sz w:val="28"/>
        </w:rPr>
        <w:t>Bilješka 33.</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20DF" w14:paraId="07C522D2" w14:textId="77777777">
        <w:trPr>
          <w:cantSplit/>
        </w:trPr>
        <w:tc>
          <w:tcPr>
            <w:tcW w:w="700" w:type="dxa"/>
            <w:shd w:val="clear" w:color="auto" w:fill="E7F0F9"/>
            <w:tcMar>
              <w:top w:w="0" w:type="dxa"/>
              <w:bottom w:w="0" w:type="dxa"/>
            </w:tcMar>
            <w:vAlign w:val="center"/>
          </w:tcPr>
          <w:p w14:paraId="462C7B7A" w14:textId="77777777" w:rsidR="003E20DF" w:rsidRDefault="00F01A5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389CDA4" w14:textId="77777777" w:rsidR="003E20DF" w:rsidRDefault="00F01A5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8A2D51C" w14:textId="77777777" w:rsidR="003E20DF" w:rsidRDefault="00F01A5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9D6666B" w14:textId="77777777" w:rsidR="003E20DF" w:rsidRDefault="00F01A5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123E925" w14:textId="77777777" w:rsidR="003E20DF" w:rsidRDefault="00F01A5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9B3F4D9" w14:textId="77777777" w:rsidR="003E20DF" w:rsidRDefault="00F01A5C">
            <w:pPr>
              <w:keepNext/>
              <w:keepLines/>
              <w:spacing w:after="0" w:line="240" w:lineRule="auto"/>
              <w:jc w:val="center"/>
            </w:pPr>
            <w:r>
              <w:rPr>
                <w:b/>
                <w:sz w:val="18"/>
              </w:rPr>
              <w:t>Indeks (%)</w:t>
            </w:r>
          </w:p>
        </w:tc>
      </w:tr>
      <w:tr w:rsidR="003E20DF" w14:paraId="74314186" w14:textId="77777777">
        <w:trPr>
          <w:cantSplit/>
          <w:trHeight w:val="560"/>
        </w:trPr>
        <w:tc>
          <w:tcPr>
            <w:tcW w:w="700" w:type="dxa"/>
            <w:tcMar>
              <w:top w:w="0" w:type="dxa"/>
              <w:bottom w:w="0" w:type="dxa"/>
            </w:tcMar>
            <w:vAlign w:val="center"/>
          </w:tcPr>
          <w:p w14:paraId="30D57AAD" w14:textId="77777777" w:rsidR="003E20DF" w:rsidRDefault="00F01A5C">
            <w:pPr>
              <w:keepNext/>
              <w:keepLines/>
              <w:spacing w:after="0" w:line="240" w:lineRule="auto"/>
            </w:pPr>
            <w:r>
              <w:rPr>
                <w:sz w:val="18"/>
              </w:rPr>
              <w:t>3238</w:t>
            </w:r>
          </w:p>
        </w:tc>
        <w:tc>
          <w:tcPr>
            <w:tcW w:w="3180" w:type="dxa"/>
            <w:tcMar>
              <w:top w:w="0" w:type="dxa"/>
              <w:bottom w:w="0" w:type="dxa"/>
            </w:tcMar>
            <w:vAlign w:val="center"/>
          </w:tcPr>
          <w:p w14:paraId="08D01505" w14:textId="77777777" w:rsidR="003E20DF" w:rsidRDefault="00F01A5C">
            <w:pPr>
              <w:keepNext/>
              <w:keepLines/>
              <w:spacing w:after="0" w:line="240" w:lineRule="auto"/>
            </w:pPr>
            <w:r>
              <w:rPr>
                <w:sz w:val="18"/>
              </w:rPr>
              <w:t>Računalne usluge</w:t>
            </w:r>
          </w:p>
        </w:tc>
        <w:tc>
          <w:tcPr>
            <w:tcW w:w="700" w:type="dxa"/>
            <w:tcMar>
              <w:top w:w="0" w:type="dxa"/>
              <w:bottom w:w="0" w:type="dxa"/>
            </w:tcMar>
            <w:vAlign w:val="center"/>
          </w:tcPr>
          <w:p w14:paraId="31C30FF3" w14:textId="77777777" w:rsidR="003E20DF" w:rsidRDefault="00F01A5C">
            <w:pPr>
              <w:keepNext/>
              <w:keepLines/>
              <w:spacing w:after="0" w:line="240" w:lineRule="auto"/>
            </w:pPr>
            <w:r>
              <w:rPr>
                <w:sz w:val="18"/>
              </w:rPr>
              <w:t>3238</w:t>
            </w:r>
          </w:p>
        </w:tc>
        <w:tc>
          <w:tcPr>
            <w:tcW w:w="1860" w:type="dxa"/>
            <w:tcMar>
              <w:top w:w="0" w:type="dxa"/>
              <w:bottom w:w="0" w:type="dxa"/>
            </w:tcMar>
            <w:vAlign w:val="center"/>
          </w:tcPr>
          <w:p w14:paraId="23479A6C" w14:textId="77777777" w:rsidR="003E20DF" w:rsidRDefault="00F01A5C">
            <w:pPr>
              <w:keepNext/>
              <w:keepLines/>
              <w:spacing w:after="0" w:line="240" w:lineRule="auto"/>
              <w:jc w:val="right"/>
            </w:pPr>
            <w:r>
              <w:rPr>
                <w:sz w:val="18"/>
              </w:rPr>
              <w:t>205.817,81</w:t>
            </w:r>
          </w:p>
        </w:tc>
        <w:tc>
          <w:tcPr>
            <w:tcW w:w="1860" w:type="dxa"/>
            <w:tcMar>
              <w:top w:w="0" w:type="dxa"/>
              <w:bottom w:w="0" w:type="dxa"/>
            </w:tcMar>
            <w:vAlign w:val="center"/>
          </w:tcPr>
          <w:p w14:paraId="0CFBDD1B" w14:textId="77777777" w:rsidR="003E20DF" w:rsidRDefault="00F01A5C">
            <w:pPr>
              <w:keepNext/>
              <w:keepLines/>
              <w:spacing w:after="0" w:line="240" w:lineRule="auto"/>
              <w:jc w:val="right"/>
            </w:pPr>
            <w:r>
              <w:rPr>
                <w:sz w:val="18"/>
              </w:rPr>
              <w:t>298.451,34</w:t>
            </w:r>
          </w:p>
        </w:tc>
        <w:tc>
          <w:tcPr>
            <w:tcW w:w="700" w:type="dxa"/>
            <w:tcMar>
              <w:top w:w="0" w:type="dxa"/>
              <w:bottom w:w="0" w:type="dxa"/>
            </w:tcMar>
            <w:vAlign w:val="center"/>
          </w:tcPr>
          <w:p w14:paraId="355E0D4E" w14:textId="77777777" w:rsidR="003E20DF" w:rsidRDefault="00F01A5C">
            <w:pPr>
              <w:keepNext/>
              <w:keepLines/>
              <w:spacing w:after="0" w:line="240" w:lineRule="auto"/>
              <w:jc w:val="right"/>
            </w:pPr>
            <w:r>
              <w:rPr>
                <w:sz w:val="18"/>
              </w:rPr>
              <w:t>145,0</w:t>
            </w:r>
          </w:p>
        </w:tc>
      </w:tr>
    </w:tbl>
    <w:p w14:paraId="20ABA9DE" w14:textId="77777777" w:rsidR="003E20DF" w:rsidRDefault="003E20DF">
      <w:pPr>
        <w:spacing w:after="0"/>
      </w:pPr>
    </w:p>
    <w:p w14:paraId="74A06A9C" w14:textId="77777777" w:rsidR="003E20DF" w:rsidRDefault="00F01A5C" w:rsidP="009564AA">
      <w:pPr>
        <w:ind w:firstLine="708"/>
        <w:jc w:val="both"/>
      </w:pPr>
      <w:r>
        <w:t>Rast u okviru ove šifre prvenstveno se odnosi na nadogradnju pipGIS sustava Grada Osijeka za vođenje evidencije i procesa održavanja slivnika u  iznosu od 6.000,00 eura, nabavu hardvera u procesu informatizacije gradske uprave - Projekt PAZIGRAD, nadogradnju postojećih računalnih sustava. Osim toga u 2025.g obavila se nadogradnja programa prometnog redarstva te nabava opreme za nadzor prometa u mirovanju.</w:t>
      </w:r>
    </w:p>
    <w:p w14:paraId="4926CF05" w14:textId="77777777" w:rsidR="003E20DF" w:rsidRDefault="003E20DF"/>
    <w:p w14:paraId="70E0BF77" w14:textId="77777777" w:rsidR="003E20DF" w:rsidRDefault="00F01A5C">
      <w:pPr>
        <w:keepNext/>
        <w:spacing w:line="240" w:lineRule="auto"/>
        <w:jc w:val="center"/>
      </w:pPr>
      <w:r>
        <w:rPr>
          <w:sz w:val="28"/>
        </w:rPr>
        <w:t>Bilješka 34.</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20DF" w14:paraId="10BC1DB0" w14:textId="77777777">
        <w:trPr>
          <w:cantSplit/>
        </w:trPr>
        <w:tc>
          <w:tcPr>
            <w:tcW w:w="700" w:type="dxa"/>
            <w:shd w:val="clear" w:color="auto" w:fill="E7F0F9"/>
            <w:tcMar>
              <w:top w:w="0" w:type="dxa"/>
              <w:bottom w:w="0" w:type="dxa"/>
            </w:tcMar>
            <w:vAlign w:val="center"/>
          </w:tcPr>
          <w:p w14:paraId="791E3176" w14:textId="77777777" w:rsidR="003E20DF" w:rsidRDefault="00F01A5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65C782D" w14:textId="77777777" w:rsidR="003E20DF" w:rsidRDefault="00F01A5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47B1702" w14:textId="77777777" w:rsidR="003E20DF" w:rsidRDefault="00F01A5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12E9E90" w14:textId="77777777" w:rsidR="003E20DF" w:rsidRDefault="00F01A5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485D772" w14:textId="77777777" w:rsidR="003E20DF" w:rsidRDefault="00F01A5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DA72825" w14:textId="77777777" w:rsidR="003E20DF" w:rsidRDefault="00F01A5C">
            <w:pPr>
              <w:keepNext/>
              <w:keepLines/>
              <w:spacing w:after="0" w:line="240" w:lineRule="auto"/>
              <w:jc w:val="center"/>
            </w:pPr>
            <w:r>
              <w:rPr>
                <w:b/>
                <w:sz w:val="18"/>
              </w:rPr>
              <w:t>Indeks (%)</w:t>
            </w:r>
          </w:p>
        </w:tc>
      </w:tr>
      <w:tr w:rsidR="003E20DF" w14:paraId="4B8348FE" w14:textId="77777777">
        <w:trPr>
          <w:cantSplit/>
          <w:trHeight w:val="560"/>
        </w:trPr>
        <w:tc>
          <w:tcPr>
            <w:tcW w:w="700" w:type="dxa"/>
            <w:tcMar>
              <w:top w:w="0" w:type="dxa"/>
              <w:bottom w:w="0" w:type="dxa"/>
            </w:tcMar>
            <w:vAlign w:val="center"/>
          </w:tcPr>
          <w:p w14:paraId="1BCBA15C" w14:textId="77777777" w:rsidR="003E20DF" w:rsidRDefault="00F01A5C">
            <w:pPr>
              <w:keepNext/>
              <w:keepLines/>
              <w:spacing w:after="0" w:line="240" w:lineRule="auto"/>
            </w:pPr>
            <w:r>
              <w:rPr>
                <w:sz w:val="18"/>
              </w:rPr>
              <w:t>3299</w:t>
            </w:r>
          </w:p>
        </w:tc>
        <w:tc>
          <w:tcPr>
            <w:tcW w:w="3180" w:type="dxa"/>
            <w:tcMar>
              <w:top w:w="0" w:type="dxa"/>
              <w:bottom w:w="0" w:type="dxa"/>
            </w:tcMar>
            <w:vAlign w:val="center"/>
          </w:tcPr>
          <w:p w14:paraId="6DFA17A4" w14:textId="77777777" w:rsidR="003E20DF" w:rsidRDefault="00F01A5C">
            <w:pPr>
              <w:keepNext/>
              <w:keepLines/>
              <w:spacing w:after="0" w:line="240" w:lineRule="auto"/>
            </w:pPr>
            <w:r>
              <w:rPr>
                <w:sz w:val="18"/>
              </w:rPr>
              <w:t>Ostali nespomenuti rashodi poslovanja</w:t>
            </w:r>
          </w:p>
        </w:tc>
        <w:tc>
          <w:tcPr>
            <w:tcW w:w="700" w:type="dxa"/>
            <w:tcMar>
              <w:top w:w="0" w:type="dxa"/>
              <w:bottom w:w="0" w:type="dxa"/>
            </w:tcMar>
            <w:vAlign w:val="center"/>
          </w:tcPr>
          <w:p w14:paraId="2E69EAE3" w14:textId="77777777" w:rsidR="003E20DF" w:rsidRDefault="00F01A5C">
            <w:pPr>
              <w:keepNext/>
              <w:keepLines/>
              <w:spacing w:after="0" w:line="240" w:lineRule="auto"/>
            </w:pPr>
            <w:r>
              <w:rPr>
                <w:sz w:val="18"/>
              </w:rPr>
              <w:t>3299</w:t>
            </w:r>
          </w:p>
        </w:tc>
        <w:tc>
          <w:tcPr>
            <w:tcW w:w="1860" w:type="dxa"/>
            <w:tcMar>
              <w:top w:w="0" w:type="dxa"/>
              <w:bottom w:w="0" w:type="dxa"/>
            </w:tcMar>
            <w:vAlign w:val="center"/>
          </w:tcPr>
          <w:p w14:paraId="3064C721" w14:textId="77777777" w:rsidR="003E20DF" w:rsidRDefault="00F01A5C">
            <w:pPr>
              <w:keepNext/>
              <w:keepLines/>
              <w:spacing w:after="0" w:line="240" w:lineRule="auto"/>
              <w:jc w:val="right"/>
            </w:pPr>
            <w:r>
              <w:rPr>
                <w:sz w:val="18"/>
              </w:rPr>
              <w:t>96.808,36</w:t>
            </w:r>
          </w:p>
        </w:tc>
        <w:tc>
          <w:tcPr>
            <w:tcW w:w="1860" w:type="dxa"/>
            <w:tcMar>
              <w:top w:w="0" w:type="dxa"/>
              <w:bottom w:w="0" w:type="dxa"/>
            </w:tcMar>
            <w:vAlign w:val="center"/>
          </w:tcPr>
          <w:p w14:paraId="25380D77" w14:textId="77777777" w:rsidR="003E20DF" w:rsidRDefault="00F01A5C">
            <w:pPr>
              <w:keepNext/>
              <w:keepLines/>
              <w:spacing w:after="0" w:line="240" w:lineRule="auto"/>
              <w:jc w:val="right"/>
            </w:pPr>
            <w:r>
              <w:rPr>
                <w:sz w:val="18"/>
              </w:rPr>
              <w:t>318.228,00</w:t>
            </w:r>
          </w:p>
        </w:tc>
        <w:tc>
          <w:tcPr>
            <w:tcW w:w="700" w:type="dxa"/>
            <w:tcMar>
              <w:top w:w="0" w:type="dxa"/>
              <w:bottom w:w="0" w:type="dxa"/>
            </w:tcMar>
            <w:vAlign w:val="center"/>
          </w:tcPr>
          <w:p w14:paraId="726944DA" w14:textId="77777777" w:rsidR="003E20DF" w:rsidRDefault="00F01A5C">
            <w:pPr>
              <w:keepNext/>
              <w:keepLines/>
              <w:spacing w:after="0" w:line="240" w:lineRule="auto"/>
              <w:jc w:val="right"/>
            </w:pPr>
            <w:r>
              <w:rPr>
                <w:sz w:val="18"/>
              </w:rPr>
              <w:t>328,7</w:t>
            </w:r>
          </w:p>
        </w:tc>
      </w:tr>
    </w:tbl>
    <w:p w14:paraId="06942466" w14:textId="77777777" w:rsidR="003E20DF" w:rsidRDefault="003E20DF">
      <w:pPr>
        <w:spacing w:after="0"/>
      </w:pPr>
    </w:p>
    <w:p w14:paraId="7C4514A6" w14:textId="77777777" w:rsidR="003E20DF" w:rsidRDefault="00F01A5C" w:rsidP="009564AA">
      <w:pPr>
        <w:ind w:firstLine="708"/>
        <w:jc w:val="both"/>
      </w:pPr>
      <w:r>
        <w:t>Povećanje na ovoj stavci u odnosu na prethodno razdoblje prvenstveno je vezano za troškove održanih lokalnih izbora.</w:t>
      </w:r>
    </w:p>
    <w:p w14:paraId="01361BF8" w14:textId="77777777" w:rsidR="003E20DF" w:rsidRDefault="003E20DF"/>
    <w:p w14:paraId="13DBAFB8" w14:textId="77777777" w:rsidR="003E20DF" w:rsidRDefault="00F01A5C">
      <w:pPr>
        <w:keepNext/>
        <w:spacing w:line="240" w:lineRule="auto"/>
        <w:jc w:val="center"/>
      </w:pPr>
      <w:r>
        <w:rPr>
          <w:sz w:val="28"/>
        </w:rPr>
        <w:lastRenderedPageBreak/>
        <w:t>Bilješka 35.</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20DF" w14:paraId="109AD700" w14:textId="77777777">
        <w:trPr>
          <w:cantSplit/>
        </w:trPr>
        <w:tc>
          <w:tcPr>
            <w:tcW w:w="700" w:type="dxa"/>
            <w:shd w:val="clear" w:color="auto" w:fill="E7F0F9"/>
            <w:tcMar>
              <w:top w:w="0" w:type="dxa"/>
              <w:bottom w:w="0" w:type="dxa"/>
            </w:tcMar>
            <w:vAlign w:val="center"/>
          </w:tcPr>
          <w:p w14:paraId="6DF0E947" w14:textId="77777777" w:rsidR="003E20DF" w:rsidRDefault="00F01A5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E32406A" w14:textId="77777777" w:rsidR="003E20DF" w:rsidRDefault="00F01A5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8DE0F3A" w14:textId="77777777" w:rsidR="003E20DF" w:rsidRDefault="00F01A5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9FB1369" w14:textId="77777777" w:rsidR="003E20DF" w:rsidRDefault="00F01A5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024A05A" w14:textId="77777777" w:rsidR="003E20DF" w:rsidRDefault="00F01A5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8286441" w14:textId="77777777" w:rsidR="003E20DF" w:rsidRDefault="00F01A5C">
            <w:pPr>
              <w:keepNext/>
              <w:keepLines/>
              <w:spacing w:after="0" w:line="240" w:lineRule="auto"/>
              <w:jc w:val="center"/>
            </w:pPr>
            <w:r>
              <w:rPr>
                <w:b/>
                <w:sz w:val="18"/>
              </w:rPr>
              <w:t>Indeks (%)</w:t>
            </w:r>
          </w:p>
        </w:tc>
      </w:tr>
      <w:tr w:rsidR="003E20DF" w14:paraId="4799C1C9" w14:textId="77777777">
        <w:trPr>
          <w:cantSplit/>
          <w:trHeight w:val="560"/>
        </w:trPr>
        <w:tc>
          <w:tcPr>
            <w:tcW w:w="700" w:type="dxa"/>
            <w:tcMar>
              <w:top w:w="0" w:type="dxa"/>
              <w:bottom w:w="0" w:type="dxa"/>
            </w:tcMar>
            <w:vAlign w:val="center"/>
          </w:tcPr>
          <w:p w14:paraId="1F36D61F" w14:textId="77777777" w:rsidR="003E20DF" w:rsidRDefault="00F01A5C">
            <w:pPr>
              <w:keepNext/>
              <w:keepLines/>
              <w:spacing w:after="0" w:line="240" w:lineRule="auto"/>
            </w:pPr>
            <w:r>
              <w:rPr>
                <w:sz w:val="18"/>
              </w:rPr>
              <w:t>3433</w:t>
            </w:r>
          </w:p>
        </w:tc>
        <w:tc>
          <w:tcPr>
            <w:tcW w:w="3180" w:type="dxa"/>
            <w:tcMar>
              <w:top w:w="0" w:type="dxa"/>
              <w:bottom w:w="0" w:type="dxa"/>
            </w:tcMar>
            <w:vAlign w:val="center"/>
          </w:tcPr>
          <w:p w14:paraId="15C122CE" w14:textId="77777777" w:rsidR="003E20DF" w:rsidRDefault="00F01A5C">
            <w:pPr>
              <w:keepNext/>
              <w:keepLines/>
              <w:spacing w:after="0" w:line="240" w:lineRule="auto"/>
            </w:pPr>
            <w:r>
              <w:rPr>
                <w:sz w:val="18"/>
              </w:rPr>
              <w:t>Zatezne kamate</w:t>
            </w:r>
          </w:p>
        </w:tc>
        <w:tc>
          <w:tcPr>
            <w:tcW w:w="700" w:type="dxa"/>
            <w:tcMar>
              <w:top w:w="0" w:type="dxa"/>
              <w:bottom w:w="0" w:type="dxa"/>
            </w:tcMar>
            <w:vAlign w:val="center"/>
          </w:tcPr>
          <w:p w14:paraId="2D60ED83" w14:textId="77777777" w:rsidR="003E20DF" w:rsidRDefault="00F01A5C">
            <w:pPr>
              <w:keepNext/>
              <w:keepLines/>
              <w:spacing w:after="0" w:line="240" w:lineRule="auto"/>
            </w:pPr>
            <w:r>
              <w:rPr>
                <w:sz w:val="18"/>
              </w:rPr>
              <w:t>3433</w:t>
            </w:r>
          </w:p>
        </w:tc>
        <w:tc>
          <w:tcPr>
            <w:tcW w:w="1860" w:type="dxa"/>
            <w:tcMar>
              <w:top w:w="0" w:type="dxa"/>
              <w:bottom w:w="0" w:type="dxa"/>
            </w:tcMar>
            <w:vAlign w:val="center"/>
          </w:tcPr>
          <w:p w14:paraId="7A8488A9" w14:textId="77777777" w:rsidR="003E20DF" w:rsidRDefault="00F01A5C">
            <w:pPr>
              <w:keepNext/>
              <w:keepLines/>
              <w:spacing w:after="0" w:line="240" w:lineRule="auto"/>
              <w:jc w:val="right"/>
            </w:pPr>
            <w:r>
              <w:rPr>
                <w:sz w:val="18"/>
              </w:rPr>
              <w:t>14,05</w:t>
            </w:r>
          </w:p>
        </w:tc>
        <w:tc>
          <w:tcPr>
            <w:tcW w:w="1860" w:type="dxa"/>
            <w:tcMar>
              <w:top w:w="0" w:type="dxa"/>
              <w:bottom w:w="0" w:type="dxa"/>
            </w:tcMar>
            <w:vAlign w:val="center"/>
          </w:tcPr>
          <w:p w14:paraId="497BC5F0" w14:textId="77777777" w:rsidR="003E20DF" w:rsidRDefault="00F01A5C">
            <w:pPr>
              <w:keepNext/>
              <w:keepLines/>
              <w:spacing w:after="0" w:line="240" w:lineRule="auto"/>
              <w:jc w:val="right"/>
            </w:pPr>
            <w:r>
              <w:rPr>
                <w:sz w:val="18"/>
              </w:rPr>
              <w:t>1.635,15</w:t>
            </w:r>
          </w:p>
        </w:tc>
        <w:tc>
          <w:tcPr>
            <w:tcW w:w="700" w:type="dxa"/>
            <w:tcMar>
              <w:top w:w="0" w:type="dxa"/>
              <w:bottom w:w="0" w:type="dxa"/>
            </w:tcMar>
            <w:vAlign w:val="center"/>
          </w:tcPr>
          <w:p w14:paraId="2C655C7C" w14:textId="77777777" w:rsidR="003E20DF" w:rsidRDefault="00F01A5C">
            <w:pPr>
              <w:keepNext/>
              <w:keepLines/>
              <w:spacing w:after="0" w:line="240" w:lineRule="auto"/>
              <w:jc w:val="right"/>
            </w:pPr>
            <w:r>
              <w:rPr>
                <w:sz w:val="18"/>
              </w:rPr>
              <w:t>&gt;&gt;100</w:t>
            </w:r>
          </w:p>
        </w:tc>
      </w:tr>
    </w:tbl>
    <w:p w14:paraId="70AC1375" w14:textId="77777777" w:rsidR="003E20DF" w:rsidRDefault="003E20DF">
      <w:pPr>
        <w:spacing w:after="0"/>
      </w:pPr>
    </w:p>
    <w:p w14:paraId="14736EBC" w14:textId="77777777" w:rsidR="003E20DF" w:rsidRDefault="00F01A5C" w:rsidP="009564AA">
      <w:pPr>
        <w:jc w:val="both"/>
      </w:pPr>
      <w:r>
        <w:t>Povećanje u okviru ove stavke odnosi se na plaćene kamate za obveze Grada koje nisu u roku dostavljene na plaćanje.</w:t>
      </w:r>
    </w:p>
    <w:p w14:paraId="2B6BE642" w14:textId="77777777" w:rsidR="003E20DF" w:rsidRDefault="00F01A5C" w:rsidP="009564AA">
      <w:pPr>
        <w:jc w:val="both"/>
      </w:pPr>
      <w:r>
        <w:t>Grad u pravilu plaća svoje obveze znatno prije isteka roka dospijeća.</w:t>
      </w:r>
    </w:p>
    <w:p w14:paraId="656D4226" w14:textId="77777777" w:rsidR="003E20DF" w:rsidRDefault="003E20DF"/>
    <w:p w14:paraId="2B8F9348" w14:textId="77777777" w:rsidR="003E20DF" w:rsidRDefault="00F01A5C">
      <w:pPr>
        <w:keepNext/>
        <w:spacing w:line="240" w:lineRule="auto"/>
        <w:jc w:val="center"/>
      </w:pPr>
      <w:r>
        <w:rPr>
          <w:sz w:val="28"/>
        </w:rPr>
        <w:t>Bilješka 36.</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20DF" w14:paraId="5398FEF2" w14:textId="77777777">
        <w:trPr>
          <w:cantSplit/>
        </w:trPr>
        <w:tc>
          <w:tcPr>
            <w:tcW w:w="700" w:type="dxa"/>
            <w:shd w:val="clear" w:color="auto" w:fill="E7F0F9"/>
            <w:tcMar>
              <w:top w:w="0" w:type="dxa"/>
              <w:bottom w:w="0" w:type="dxa"/>
            </w:tcMar>
            <w:vAlign w:val="center"/>
          </w:tcPr>
          <w:p w14:paraId="3E120514" w14:textId="77777777" w:rsidR="003E20DF" w:rsidRDefault="00F01A5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4599486" w14:textId="77777777" w:rsidR="003E20DF" w:rsidRDefault="00F01A5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BA3C4BB" w14:textId="77777777" w:rsidR="003E20DF" w:rsidRDefault="00F01A5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4BEEA90" w14:textId="77777777" w:rsidR="003E20DF" w:rsidRDefault="00F01A5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B396BBB" w14:textId="77777777" w:rsidR="003E20DF" w:rsidRDefault="00F01A5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4E6C178" w14:textId="77777777" w:rsidR="003E20DF" w:rsidRDefault="00F01A5C">
            <w:pPr>
              <w:keepNext/>
              <w:keepLines/>
              <w:spacing w:after="0" w:line="240" w:lineRule="auto"/>
              <w:jc w:val="center"/>
            </w:pPr>
            <w:r>
              <w:rPr>
                <w:b/>
                <w:sz w:val="18"/>
              </w:rPr>
              <w:t>Indeks (%)</w:t>
            </w:r>
          </w:p>
        </w:tc>
      </w:tr>
      <w:tr w:rsidR="003E20DF" w14:paraId="542F9FFA" w14:textId="77777777">
        <w:trPr>
          <w:cantSplit/>
          <w:trHeight w:val="560"/>
        </w:trPr>
        <w:tc>
          <w:tcPr>
            <w:tcW w:w="700" w:type="dxa"/>
            <w:tcMar>
              <w:top w:w="0" w:type="dxa"/>
              <w:bottom w:w="0" w:type="dxa"/>
            </w:tcMar>
            <w:vAlign w:val="center"/>
          </w:tcPr>
          <w:p w14:paraId="2F79688D" w14:textId="77777777" w:rsidR="003E20DF" w:rsidRDefault="00F01A5C">
            <w:pPr>
              <w:keepNext/>
              <w:keepLines/>
              <w:spacing w:after="0" w:line="240" w:lineRule="auto"/>
            </w:pPr>
            <w:r>
              <w:rPr>
                <w:sz w:val="18"/>
              </w:rPr>
              <w:t>35</w:t>
            </w:r>
          </w:p>
        </w:tc>
        <w:tc>
          <w:tcPr>
            <w:tcW w:w="3180" w:type="dxa"/>
            <w:tcMar>
              <w:top w:w="0" w:type="dxa"/>
              <w:bottom w:w="0" w:type="dxa"/>
            </w:tcMar>
            <w:vAlign w:val="center"/>
          </w:tcPr>
          <w:p w14:paraId="5FACAC82" w14:textId="77777777" w:rsidR="003E20DF" w:rsidRDefault="00F01A5C">
            <w:pPr>
              <w:keepNext/>
              <w:keepLines/>
              <w:spacing w:after="0" w:line="240" w:lineRule="auto"/>
            </w:pPr>
            <w:r>
              <w:rPr>
                <w:sz w:val="18"/>
              </w:rPr>
              <w:t>Subvencije (šifre 351+352+353)</w:t>
            </w:r>
          </w:p>
        </w:tc>
        <w:tc>
          <w:tcPr>
            <w:tcW w:w="700" w:type="dxa"/>
            <w:tcMar>
              <w:top w:w="0" w:type="dxa"/>
              <w:bottom w:w="0" w:type="dxa"/>
            </w:tcMar>
            <w:vAlign w:val="center"/>
          </w:tcPr>
          <w:p w14:paraId="7E62D568" w14:textId="77777777" w:rsidR="003E20DF" w:rsidRDefault="00F01A5C">
            <w:pPr>
              <w:keepNext/>
              <w:keepLines/>
              <w:spacing w:after="0" w:line="240" w:lineRule="auto"/>
            </w:pPr>
            <w:r>
              <w:rPr>
                <w:sz w:val="18"/>
              </w:rPr>
              <w:t>35</w:t>
            </w:r>
          </w:p>
        </w:tc>
        <w:tc>
          <w:tcPr>
            <w:tcW w:w="1860" w:type="dxa"/>
            <w:tcMar>
              <w:top w:w="0" w:type="dxa"/>
              <w:bottom w:w="0" w:type="dxa"/>
            </w:tcMar>
            <w:vAlign w:val="center"/>
          </w:tcPr>
          <w:p w14:paraId="30A20359" w14:textId="77777777" w:rsidR="003E20DF" w:rsidRDefault="00F01A5C">
            <w:pPr>
              <w:keepNext/>
              <w:keepLines/>
              <w:spacing w:after="0" w:line="240" w:lineRule="auto"/>
              <w:jc w:val="right"/>
            </w:pPr>
            <w:r>
              <w:rPr>
                <w:sz w:val="18"/>
              </w:rPr>
              <w:t>13.510.384,20</w:t>
            </w:r>
          </w:p>
        </w:tc>
        <w:tc>
          <w:tcPr>
            <w:tcW w:w="1860" w:type="dxa"/>
            <w:tcMar>
              <w:top w:w="0" w:type="dxa"/>
              <w:bottom w:w="0" w:type="dxa"/>
            </w:tcMar>
            <w:vAlign w:val="center"/>
          </w:tcPr>
          <w:p w14:paraId="52673DE1" w14:textId="77777777" w:rsidR="003E20DF" w:rsidRDefault="00F01A5C">
            <w:pPr>
              <w:keepNext/>
              <w:keepLines/>
              <w:spacing w:after="0" w:line="240" w:lineRule="auto"/>
              <w:jc w:val="right"/>
            </w:pPr>
            <w:r>
              <w:rPr>
                <w:sz w:val="18"/>
              </w:rPr>
              <w:t>15.737.636,71</w:t>
            </w:r>
          </w:p>
        </w:tc>
        <w:tc>
          <w:tcPr>
            <w:tcW w:w="700" w:type="dxa"/>
            <w:tcMar>
              <w:top w:w="0" w:type="dxa"/>
              <w:bottom w:w="0" w:type="dxa"/>
            </w:tcMar>
            <w:vAlign w:val="center"/>
          </w:tcPr>
          <w:p w14:paraId="5DBDC4B1" w14:textId="77777777" w:rsidR="003E20DF" w:rsidRDefault="00F01A5C">
            <w:pPr>
              <w:keepNext/>
              <w:keepLines/>
              <w:spacing w:after="0" w:line="240" w:lineRule="auto"/>
              <w:jc w:val="right"/>
            </w:pPr>
            <w:r>
              <w:rPr>
                <w:sz w:val="18"/>
              </w:rPr>
              <w:t>116,5</w:t>
            </w:r>
          </w:p>
        </w:tc>
      </w:tr>
    </w:tbl>
    <w:p w14:paraId="42192651" w14:textId="77777777" w:rsidR="003E20DF" w:rsidRDefault="003E20DF">
      <w:pPr>
        <w:spacing w:after="0"/>
      </w:pPr>
    </w:p>
    <w:p w14:paraId="59DFCBDD" w14:textId="77777777" w:rsidR="003E20DF" w:rsidRDefault="00F01A5C" w:rsidP="009564AA">
      <w:pPr>
        <w:ind w:firstLine="708"/>
        <w:jc w:val="both"/>
      </w:pPr>
      <w:r>
        <w:t>Rashodi za subvencije trgovačkim društvima su veći u odnosu na isto razdoblje prethodne godine uslijed povećane potrebe trgovačkih društava za ovim sredstvima u 2025. uslijed rasta troškova rada, materijala i usluga, dok u isto vrijeme nisu povećane cijene prijevoza niti komunalnih usluga. Najznačajnija sredstva osigurana su za GPP d.o.o., Športski objekti d.o.o., Ukop d.o.o., a vidljiv je i kontinuirani rast subvencija za poticanje poduzetništva. Društvu Vodovod-Osijek d.o.o. isplaćena je subvencija u iznosu 2.000.000,00 eura za povećane troškove poslovanja uslijed stavljanja UPOV Nemetin u funkciju. </w:t>
      </w:r>
    </w:p>
    <w:p w14:paraId="799CC056" w14:textId="77777777" w:rsidR="003E20DF" w:rsidRDefault="003E20DF"/>
    <w:p w14:paraId="0D8BA865" w14:textId="77777777" w:rsidR="003E20DF" w:rsidRDefault="00F01A5C">
      <w:pPr>
        <w:keepNext/>
        <w:spacing w:line="240" w:lineRule="auto"/>
        <w:jc w:val="center"/>
      </w:pPr>
      <w:r>
        <w:rPr>
          <w:sz w:val="28"/>
        </w:rPr>
        <w:t>Bilješka 37.</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20DF" w14:paraId="5DF6F8B5" w14:textId="77777777">
        <w:trPr>
          <w:cantSplit/>
        </w:trPr>
        <w:tc>
          <w:tcPr>
            <w:tcW w:w="700" w:type="dxa"/>
            <w:shd w:val="clear" w:color="auto" w:fill="E7F0F9"/>
            <w:tcMar>
              <w:top w:w="0" w:type="dxa"/>
              <w:bottom w:w="0" w:type="dxa"/>
            </w:tcMar>
            <w:vAlign w:val="center"/>
          </w:tcPr>
          <w:p w14:paraId="41C7D5A0" w14:textId="77777777" w:rsidR="003E20DF" w:rsidRDefault="00F01A5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A5B380A" w14:textId="77777777" w:rsidR="003E20DF" w:rsidRDefault="00F01A5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881941B" w14:textId="77777777" w:rsidR="003E20DF" w:rsidRDefault="00F01A5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E1B7352" w14:textId="77777777" w:rsidR="003E20DF" w:rsidRDefault="00F01A5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E2414BD" w14:textId="77777777" w:rsidR="003E20DF" w:rsidRDefault="00F01A5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93C6B8E" w14:textId="77777777" w:rsidR="003E20DF" w:rsidRDefault="00F01A5C">
            <w:pPr>
              <w:keepNext/>
              <w:keepLines/>
              <w:spacing w:after="0" w:line="240" w:lineRule="auto"/>
              <w:jc w:val="center"/>
            </w:pPr>
            <w:r>
              <w:rPr>
                <w:b/>
                <w:sz w:val="18"/>
              </w:rPr>
              <w:t>Indeks (%)</w:t>
            </w:r>
          </w:p>
        </w:tc>
      </w:tr>
      <w:tr w:rsidR="003E20DF" w14:paraId="40864645" w14:textId="77777777">
        <w:trPr>
          <w:cantSplit/>
          <w:trHeight w:val="560"/>
        </w:trPr>
        <w:tc>
          <w:tcPr>
            <w:tcW w:w="700" w:type="dxa"/>
            <w:tcMar>
              <w:top w:w="0" w:type="dxa"/>
              <w:bottom w:w="0" w:type="dxa"/>
            </w:tcMar>
            <w:vAlign w:val="center"/>
          </w:tcPr>
          <w:p w14:paraId="66B01497" w14:textId="77777777" w:rsidR="003E20DF" w:rsidRDefault="00F01A5C">
            <w:pPr>
              <w:keepNext/>
              <w:keepLines/>
              <w:spacing w:after="0" w:line="240" w:lineRule="auto"/>
            </w:pPr>
            <w:r>
              <w:rPr>
                <w:sz w:val="18"/>
              </w:rPr>
              <w:t>362</w:t>
            </w:r>
          </w:p>
        </w:tc>
        <w:tc>
          <w:tcPr>
            <w:tcW w:w="3180" w:type="dxa"/>
            <w:tcMar>
              <w:top w:w="0" w:type="dxa"/>
              <w:bottom w:w="0" w:type="dxa"/>
            </w:tcMar>
            <w:vAlign w:val="center"/>
          </w:tcPr>
          <w:p w14:paraId="0C12C0B9" w14:textId="77777777" w:rsidR="003E20DF" w:rsidRDefault="00F01A5C">
            <w:pPr>
              <w:keepNext/>
              <w:keepLines/>
              <w:spacing w:after="0" w:line="240" w:lineRule="auto"/>
            </w:pPr>
            <w:r>
              <w:rPr>
                <w:sz w:val="18"/>
              </w:rPr>
              <w:t>Pomoći međunarodnim organizacijama te institucijama i tijelima EU (šifre 3621+3622)</w:t>
            </w:r>
          </w:p>
        </w:tc>
        <w:tc>
          <w:tcPr>
            <w:tcW w:w="700" w:type="dxa"/>
            <w:tcMar>
              <w:top w:w="0" w:type="dxa"/>
              <w:bottom w:w="0" w:type="dxa"/>
            </w:tcMar>
            <w:vAlign w:val="center"/>
          </w:tcPr>
          <w:p w14:paraId="467820D8" w14:textId="77777777" w:rsidR="003E20DF" w:rsidRDefault="00F01A5C">
            <w:pPr>
              <w:keepNext/>
              <w:keepLines/>
              <w:spacing w:after="0" w:line="240" w:lineRule="auto"/>
            </w:pPr>
            <w:r>
              <w:rPr>
                <w:sz w:val="18"/>
              </w:rPr>
              <w:t>362</w:t>
            </w:r>
          </w:p>
        </w:tc>
        <w:tc>
          <w:tcPr>
            <w:tcW w:w="1860" w:type="dxa"/>
            <w:tcMar>
              <w:top w:w="0" w:type="dxa"/>
              <w:bottom w:w="0" w:type="dxa"/>
            </w:tcMar>
            <w:vAlign w:val="center"/>
          </w:tcPr>
          <w:p w14:paraId="0990DBAF" w14:textId="77777777" w:rsidR="003E20DF" w:rsidRDefault="00F01A5C">
            <w:pPr>
              <w:keepNext/>
              <w:keepLines/>
              <w:spacing w:after="0" w:line="240" w:lineRule="auto"/>
              <w:jc w:val="right"/>
            </w:pPr>
            <w:r>
              <w:rPr>
                <w:sz w:val="18"/>
              </w:rPr>
              <w:t>400,00</w:t>
            </w:r>
          </w:p>
        </w:tc>
        <w:tc>
          <w:tcPr>
            <w:tcW w:w="1860" w:type="dxa"/>
            <w:tcMar>
              <w:top w:w="0" w:type="dxa"/>
              <w:bottom w:w="0" w:type="dxa"/>
            </w:tcMar>
            <w:vAlign w:val="center"/>
          </w:tcPr>
          <w:p w14:paraId="15487A8E" w14:textId="77777777" w:rsidR="003E20DF" w:rsidRDefault="00F01A5C">
            <w:pPr>
              <w:keepNext/>
              <w:keepLines/>
              <w:spacing w:after="0" w:line="240" w:lineRule="auto"/>
              <w:jc w:val="right"/>
            </w:pPr>
            <w:r>
              <w:rPr>
                <w:sz w:val="18"/>
              </w:rPr>
              <w:t>0,00</w:t>
            </w:r>
          </w:p>
        </w:tc>
        <w:tc>
          <w:tcPr>
            <w:tcW w:w="700" w:type="dxa"/>
            <w:tcMar>
              <w:top w:w="0" w:type="dxa"/>
              <w:bottom w:w="0" w:type="dxa"/>
            </w:tcMar>
            <w:vAlign w:val="center"/>
          </w:tcPr>
          <w:p w14:paraId="189252FC" w14:textId="77777777" w:rsidR="003E20DF" w:rsidRDefault="00F01A5C">
            <w:pPr>
              <w:keepNext/>
              <w:keepLines/>
              <w:spacing w:after="0" w:line="240" w:lineRule="auto"/>
              <w:jc w:val="right"/>
            </w:pPr>
            <w:r>
              <w:rPr>
                <w:sz w:val="18"/>
              </w:rPr>
              <w:t>0</w:t>
            </w:r>
          </w:p>
        </w:tc>
      </w:tr>
    </w:tbl>
    <w:p w14:paraId="7A428BCC" w14:textId="77777777" w:rsidR="003E20DF" w:rsidRDefault="003E20DF">
      <w:pPr>
        <w:spacing w:after="0"/>
      </w:pPr>
    </w:p>
    <w:p w14:paraId="65F9FCEE" w14:textId="1D9C7DEA" w:rsidR="003E20DF" w:rsidRDefault="00F01A5C" w:rsidP="00B20751">
      <w:pPr>
        <w:jc w:val="both"/>
      </w:pPr>
      <w:r>
        <w:t>U 2024. u izvještajnom razdoblju dana je financijska potpora Medijskom centru Vrh</w:t>
      </w:r>
      <w:r w:rsidR="00B20751">
        <w:t xml:space="preserve"> </w:t>
      </w:r>
      <w:r>
        <w:t>bosanske nadbiskupije, dok u 2025. godini troška u okviru ove šifre nema.</w:t>
      </w:r>
    </w:p>
    <w:p w14:paraId="42691EFC" w14:textId="77777777" w:rsidR="003E20DF" w:rsidRDefault="003E20DF"/>
    <w:p w14:paraId="55D6924C" w14:textId="77777777" w:rsidR="003E20DF" w:rsidRDefault="00F01A5C">
      <w:pPr>
        <w:keepNext/>
        <w:spacing w:line="240" w:lineRule="auto"/>
        <w:jc w:val="center"/>
      </w:pPr>
      <w:r>
        <w:rPr>
          <w:sz w:val="28"/>
        </w:rPr>
        <w:lastRenderedPageBreak/>
        <w:t>Bilješka 38.</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20DF" w14:paraId="7CC3ED39" w14:textId="77777777">
        <w:trPr>
          <w:cantSplit/>
        </w:trPr>
        <w:tc>
          <w:tcPr>
            <w:tcW w:w="700" w:type="dxa"/>
            <w:shd w:val="clear" w:color="auto" w:fill="E7F0F9"/>
            <w:tcMar>
              <w:top w:w="0" w:type="dxa"/>
              <w:bottom w:w="0" w:type="dxa"/>
            </w:tcMar>
            <w:vAlign w:val="center"/>
          </w:tcPr>
          <w:p w14:paraId="23B744E7" w14:textId="77777777" w:rsidR="003E20DF" w:rsidRDefault="00F01A5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8DB1CD9" w14:textId="77777777" w:rsidR="003E20DF" w:rsidRDefault="00F01A5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8EE7CE3" w14:textId="77777777" w:rsidR="003E20DF" w:rsidRDefault="00F01A5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039D1F5" w14:textId="77777777" w:rsidR="003E20DF" w:rsidRDefault="00F01A5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5384E0B" w14:textId="77777777" w:rsidR="003E20DF" w:rsidRDefault="00F01A5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C16ABA7" w14:textId="77777777" w:rsidR="003E20DF" w:rsidRDefault="00F01A5C">
            <w:pPr>
              <w:keepNext/>
              <w:keepLines/>
              <w:spacing w:after="0" w:line="240" w:lineRule="auto"/>
              <w:jc w:val="center"/>
            </w:pPr>
            <w:r>
              <w:rPr>
                <w:b/>
                <w:sz w:val="18"/>
              </w:rPr>
              <w:t>Indeks (%)</w:t>
            </w:r>
          </w:p>
        </w:tc>
      </w:tr>
      <w:tr w:rsidR="003E20DF" w14:paraId="18FF5F8A" w14:textId="77777777">
        <w:trPr>
          <w:cantSplit/>
          <w:trHeight w:val="560"/>
        </w:trPr>
        <w:tc>
          <w:tcPr>
            <w:tcW w:w="700" w:type="dxa"/>
            <w:tcMar>
              <w:top w:w="0" w:type="dxa"/>
              <w:bottom w:w="0" w:type="dxa"/>
            </w:tcMar>
            <w:vAlign w:val="center"/>
          </w:tcPr>
          <w:p w14:paraId="03708F75" w14:textId="77777777" w:rsidR="003E20DF" w:rsidRDefault="00F01A5C">
            <w:pPr>
              <w:keepNext/>
              <w:keepLines/>
              <w:spacing w:after="0" w:line="240" w:lineRule="auto"/>
            </w:pPr>
            <w:r>
              <w:rPr>
                <w:sz w:val="18"/>
              </w:rPr>
              <w:t>3632</w:t>
            </w:r>
          </w:p>
        </w:tc>
        <w:tc>
          <w:tcPr>
            <w:tcW w:w="3180" w:type="dxa"/>
            <w:tcMar>
              <w:top w:w="0" w:type="dxa"/>
              <w:bottom w:w="0" w:type="dxa"/>
            </w:tcMar>
            <w:vAlign w:val="center"/>
          </w:tcPr>
          <w:p w14:paraId="103C36C7" w14:textId="77777777" w:rsidR="003E20DF" w:rsidRDefault="00F01A5C">
            <w:pPr>
              <w:keepNext/>
              <w:keepLines/>
              <w:spacing w:after="0" w:line="240" w:lineRule="auto"/>
            </w:pPr>
            <w:r>
              <w:rPr>
                <w:sz w:val="18"/>
              </w:rPr>
              <w:t>Kapitalne pomoći drugom proračunu i izvanproračunskim korisnicima</w:t>
            </w:r>
          </w:p>
        </w:tc>
        <w:tc>
          <w:tcPr>
            <w:tcW w:w="700" w:type="dxa"/>
            <w:tcMar>
              <w:top w:w="0" w:type="dxa"/>
              <w:bottom w:w="0" w:type="dxa"/>
            </w:tcMar>
            <w:vAlign w:val="center"/>
          </w:tcPr>
          <w:p w14:paraId="710E1767" w14:textId="77777777" w:rsidR="003E20DF" w:rsidRDefault="00F01A5C">
            <w:pPr>
              <w:keepNext/>
              <w:keepLines/>
              <w:spacing w:after="0" w:line="240" w:lineRule="auto"/>
            </w:pPr>
            <w:r>
              <w:rPr>
                <w:sz w:val="18"/>
              </w:rPr>
              <w:t>3632</w:t>
            </w:r>
          </w:p>
        </w:tc>
        <w:tc>
          <w:tcPr>
            <w:tcW w:w="1860" w:type="dxa"/>
            <w:tcMar>
              <w:top w:w="0" w:type="dxa"/>
              <w:bottom w:w="0" w:type="dxa"/>
            </w:tcMar>
            <w:vAlign w:val="center"/>
          </w:tcPr>
          <w:p w14:paraId="44A4C394" w14:textId="77777777" w:rsidR="003E20DF" w:rsidRDefault="00F01A5C">
            <w:pPr>
              <w:keepNext/>
              <w:keepLines/>
              <w:spacing w:after="0" w:line="240" w:lineRule="auto"/>
              <w:jc w:val="right"/>
            </w:pPr>
            <w:r>
              <w:rPr>
                <w:sz w:val="18"/>
              </w:rPr>
              <w:t>123.009,30</w:t>
            </w:r>
          </w:p>
        </w:tc>
        <w:tc>
          <w:tcPr>
            <w:tcW w:w="1860" w:type="dxa"/>
            <w:tcMar>
              <w:top w:w="0" w:type="dxa"/>
              <w:bottom w:w="0" w:type="dxa"/>
            </w:tcMar>
            <w:vAlign w:val="center"/>
          </w:tcPr>
          <w:p w14:paraId="7FEFD3A9" w14:textId="77777777" w:rsidR="003E20DF" w:rsidRDefault="00F01A5C">
            <w:pPr>
              <w:keepNext/>
              <w:keepLines/>
              <w:spacing w:after="0" w:line="240" w:lineRule="auto"/>
              <w:jc w:val="right"/>
            </w:pPr>
            <w:r>
              <w:rPr>
                <w:sz w:val="18"/>
              </w:rPr>
              <w:t>310.645,67</w:t>
            </w:r>
          </w:p>
        </w:tc>
        <w:tc>
          <w:tcPr>
            <w:tcW w:w="700" w:type="dxa"/>
            <w:tcMar>
              <w:top w:w="0" w:type="dxa"/>
              <w:bottom w:w="0" w:type="dxa"/>
            </w:tcMar>
            <w:vAlign w:val="center"/>
          </w:tcPr>
          <w:p w14:paraId="2E9804DD" w14:textId="77777777" w:rsidR="003E20DF" w:rsidRDefault="00F01A5C">
            <w:pPr>
              <w:keepNext/>
              <w:keepLines/>
              <w:spacing w:after="0" w:line="240" w:lineRule="auto"/>
              <w:jc w:val="right"/>
            </w:pPr>
            <w:r>
              <w:rPr>
                <w:sz w:val="18"/>
              </w:rPr>
              <w:t>252,5</w:t>
            </w:r>
          </w:p>
        </w:tc>
      </w:tr>
    </w:tbl>
    <w:p w14:paraId="1800EF07" w14:textId="77777777" w:rsidR="003E20DF" w:rsidRDefault="003E20DF">
      <w:pPr>
        <w:spacing w:after="0"/>
      </w:pPr>
    </w:p>
    <w:p w14:paraId="76DE945D" w14:textId="77777777" w:rsidR="003E20DF" w:rsidRDefault="00F01A5C" w:rsidP="00882057">
      <w:pPr>
        <w:ind w:firstLine="708"/>
        <w:jc w:val="both"/>
      </w:pPr>
      <w:r>
        <w:t>Značajno povećanje na kapitalnim pomoći izvanproračunskim korisnicima odnosi se na ugovornu obvezu Grada pri provedbi zajedničkog projekta uređenja desne obale Drave s Hrvatskim vodama, koje su i nositelji investicije. </w:t>
      </w:r>
    </w:p>
    <w:p w14:paraId="53EEB629" w14:textId="77777777" w:rsidR="003E20DF" w:rsidRDefault="003E20DF"/>
    <w:p w14:paraId="07CF1ED6" w14:textId="77777777" w:rsidR="003E20DF" w:rsidRDefault="00F01A5C">
      <w:pPr>
        <w:keepNext/>
        <w:spacing w:line="240" w:lineRule="auto"/>
        <w:jc w:val="center"/>
      </w:pPr>
      <w:r>
        <w:rPr>
          <w:sz w:val="28"/>
        </w:rPr>
        <w:t>Bilješka 39.</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20DF" w14:paraId="178276AD" w14:textId="77777777">
        <w:trPr>
          <w:cantSplit/>
        </w:trPr>
        <w:tc>
          <w:tcPr>
            <w:tcW w:w="700" w:type="dxa"/>
            <w:shd w:val="clear" w:color="auto" w:fill="E7F0F9"/>
            <w:tcMar>
              <w:top w:w="0" w:type="dxa"/>
              <w:bottom w:w="0" w:type="dxa"/>
            </w:tcMar>
            <w:vAlign w:val="center"/>
          </w:tcPr>
          <w:p w14:paraId="2FDEA659" w14:textId="77777777" w:rsidR="003E20DF" w:rsidRDefault="00F01A5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BA07D6D" w14:textId="77777777" w:rsidR="003E20DF" w:rsidRDefault="00F01A5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6F870F4" w14:textId="77777777" w:rsidR="003E20DF" w:rsidRDefault="00F01A5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411F684" w14:textId="77777777" w:rsidR="003E20DF" w:rsidRDefault="00F01A5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02AF06E" w14:textId="77777777" w:rsidR="003E20DF" w:rsidRDefault="00F01A5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A569AED" w14:textId="77777777" w:rsidR="003E20DF" w:rsidRDefault="00F01A5C">
            <w:pPr>
              <w:keepNext/>
              <w:keepLines/>
              <w:spacing w:after="0" w:line="240" w:lineRule="auto"/>
              <w:jc w:val="center"/>
            </w:pPr>
            <w:r>
              <w:rPr>
                <w:b/>
                <w:sz w:val="18"/>
              </w:rPr>
              <w:t>Indeks (%)</w:t>
            </w:r>
          </w:p>
        </w:tc>
      </w:tr>
      <w:tr w:rsidR="003E20DF" w14:paraId="77B441DA" w14:textId="77777777">
        <w:trPr>
          <w:cantSplit/>
          <w:trHeight w:val="560"/>
        </w:trPr>
        <w:tc>
          <w:tcPr>
            <w:tcW w:w="700" w:type="dxa"/>
            <w:tcMar>
              <w:top w:w="0" w:type="dxa"/>
              <w:bottom w:w="0" w:type="dxa"/>
            </w:tcMar>
            <w:vAlign w:val="center"/>
          </w:tcPr>
          <w:p w14:paraId="030F9900" w14:textId="77777777" w:rsidR="003E20DF" w:rsidRDefault="00F01A5C">
            <w:pPr>
              <w:keepNext/>
              <w:keepLines/>
              <w:spacing w:after="0" w:line="240" w:lineRule="auto"/>
            </w:pPr>
            <w:r>
              <w:rPr>
                <w:sz w:val="18"/>
              </w:rPr>
              <w:t>367</w:t>
            </w:r>
          </w:p>
        </w:tc>
        <w:tc>
          <w:tcPr>
            <w:tcW w:w="3180" w:type="dxa"/>
            <w:tcMar>
              <w:top w:w="0" w:type="dxa"/>
              <w:bottom w:w="0" w:type="dxa"/>
            </w:tcMar>
            <w:vAlign w:val="center"/>
          </w:tcPr>
          <w:p w14:paraId="086D59CA" w14:textId="77777777" w:rsidR="003E20DF" w:rsidRDefault="00F01A5C">
            <w:pPr>
              <w:keepNext/>
              <w:keepLines/>
              <w:spacing w:after="0" w:line="240" w:lineRule="auto"/>
            </w:pPr>
            <w:r>
              <w:rPr>
                <w:sz w:val="18"/>
              </w:rPr>
              <w:t>Prijenosi proračunskim korisnicima iz nadležnog proračuna za financiranje redovne djelatnosti (šifre 3672 do 3674)</w:t>
            </w:r>
          </w:p>
        </w:tc>
        <w:tc>
          <w:tcPr>
            <w:tcW w:w="700" w:type="dxa"/>
            <w:tcMar>
              <w:top w:w="0" w:type="dxa"/>
              <w:bottom w:w="0" w:type="dxa"/>
            </w:tcMar>
            <w:vAlign w:val="center"/>
          </w:tcPr>
          <w:p w14:paraId="661A441E" w14:textId="77777777" w:rsidR="003E20DF" w:rsidRDefault="00F01A5C">
            <w:pPr>
              <w:keepNext/>
              <w:keepLines/>
              <w:spacing w:after="0" w:line="240" w:lineRule="auto"/>
            </w:pPr>
            <w:r>
              <w:rPr>
                <w:sz w:val="18"/>
              </w:rPr>
              <w:t>367</w:t>
            </w:r>
          </w:p>
        </w:tc>
        <w:tc>
          <w:tcPr>
            <w:tcW w:w="1860" w:type="dxa"/>
            <w:tcMar>
              <w:top w:w="0" w:type="dxa"/>
              <w:bottom w:w="0" w:type="dxa"/>
            </w:tcMar>
            <w:vAlign w:val="center"/>
          </w:tcPr>
          <w:p w14:paraId="18B42A67" w14:textId="77777777" w:rsidR="003E20DF" w:rsidRDefault="00F01A5C">
            <w:pPr>
              <w:keepNext/>
              <w:keepLines/>
              <w:spacing w:after="0" w:line="240" w:lineRule="auto"/>
              <w:jc w:val="right"/>
            </w:pPr>
            <w:r>
              <w:rPr>
                <w:sz w:val="18"/>
              </w:rPr>
              <w:t>26.557.547,98</w:t>
            </w:r>
          </w:p>
        </w:tc>
        <w:tc>
          <w:tcPr>
            <w:tcW w:w="1860" w:type="dxa"/>
            <w:tcMar>
              <w:top w:w="0" w:type="dxa"/>
              <w:bottom w:w="0" w:type="dxa"/>
            </w:tcMar>
            <w:vAlign w:val="center"/>
          </w:tcPr>
          <w:p w14:paraId="52CB711B" w14:textId="77777777" w:rsidR="003E20DF" w:rsidRDefault="00F01A5C">
            <w:pPr>
              <w:keepNext/>
              <w:keepLines/>
              <w:spacing w:after="0" w:line="240" w:lineRule="auto"/>
              <w:jc w:val="right"/>
            </w:pPr>
            <w:r>
              <w:rPr>
                <w:sz w:val="18"/>
              </w:rPr>
              <w:t>31.893.032,75</w:t>
            </w:r>
          </w:p>
        </w:tc>
        <w:tc>
          <w:tcPr>
            <w:tcW w:w="700" w:type="dxa"/>
            <w:tcMar>
              <w:top w:w="0" w:type="dxa"/>
              <w:bottom w:w="0" w:type="dxa"/>
            </w:tcMar>
            <w:vAlign w:val="center"/>
          </w:tcPr>
          <w:p w14:paraId="61BF01C8" w14:textId="77777777" w:rsidR="003E20DF" w:rsidRDefault="00F01A5C">
            <w:pPr>
              <w:keepNext/>
              <w:keepLines/>
              <w:spacing w:after="0" w:line="240" w:lineRule="auto"/>
              <w:jc w:val="right"/>
            </w:pPr>
            <w:r>
              <w:rPr>
                <w:sz w:val="18"/>
              </w:rPr>
              <w:t>120,1</w:t>
            </w:r>
          </w:p>
        </w:tc>
      </w:tr>
    </w:tbl>
    <w:p w14:paraId="594F2D1F" w14:textId="77777777" w:rsidR="003E20DF" w:rsidRDefault="003E20DF">
      <w:pPr>
        <w:spacing w:after="0"/>
      </w:pPr>
    </w:p>
    <w:p w14:paraId="4D82F1E0" w14:textId="77777777" w:rsidR="003E20DF" w:rsidRDefault="00F01A5C" w:rsidP="00882057">
      <w:pPr>
        <w:ind w:firstLine="708"/>
        <w:jc w:val="both"/>
      </w:pPr>
      <w:r>
        <w:t>Povećanje je prvenstveno vezano za troškove rashoda za zaposlene koji su viši u odnosu na isto razdoblje prethodne godine zbog potpisanih novih Kolektivnih ugovora s HNK i Dječjim kazalištem u listopadu 2024., kao i smanjenje omjera financiranja redovnih  rashoda HNK od strane Osječko-baranjske županije temeljem potpisanog sporazuma o prijenosu osnivačkih prava. Prijenosi za nabavu nefinancijske imovine su manji u odnosu na 2024., obzirom da je u istoj izvršeno opremanje novosagrađenih i rekonstruiranih dječjih vrtića.</w:t>
      </w:r>
    </w:p>
    <w:p w14:paraId="338602A1" w14:textId="77777777" w:rsidR="003E20DF" w:rsidRDefault="003E20DF"/>
    <w:p w14:paraId="371FB5AD" w14:textId="77777777" w:rsidR="003E20DF" w:rsidRDefault="00F01A5C">
      <w:pPr>
        <w:keepNext/>
        <w:spacing w:line="240" w:lineRule="auto"/>
        <w:jc w:val="center"/>
      </w:pPr>
      <w:r>
        <w:rPr>
          <w:sz w:val="28"/>
        </w:rPr>
        <w:t>Bilješka 40.</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20DF" w14:paraId="022BF715" w14:textId="77777777">
        <w:trPr>
          <w:cantSplit/>
        </w:trPr>
        <w:tc>
          <w:tcPr>
            <w:tcW w:w="700" w:type="dxa"/>
            <w:shd w:val="clear" w:color="auto" w:fill="E7F0F9"/>
            <w:tcMar>
              <w:top w:w="0" w:type="dxa"/>
              <w:bottom w:w="0" w:type="dxa"/>
            </w:tcMar>
            <w:vAlign w:val="center"/>
          </w:tcPr>
          <w:p w14:paraId="568989DC" w14:textId="77777777" w:rsidR="003E20DF" w:rsidRDefault="00F01A5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57A98DB" w14:textId="77777777" w:rsidR="003E20DF" w:rsidRDefault="00F01A5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B4704E3" w14:textId="77777777" w:rsidR="003E20DF" w:rsidRDefault="00F01A5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E937811" w14:textId="77777777" w:rsidR="003E20DF" w:rsidRDefault="00F01A5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A720AE7" w14:textId="77777777" w:rsidR="003E20DF" w:rsidRDefault="00F01A5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4191AF4" w14:textId="77777777" w:rsidR="003E20DF" w:rsidRDefault="00F01A5C">
            <w:pPr>
              <w:keepNext/>
              <w:keepLines/>
              <w:spacing w:after="0" w:line="240" w:lineRule="auto"/>
              <w:jc w:val="center"/>
            </w:pPr>
            <w:r>
              <w:rPr>
                <w:b/>
                <w:sz w:val="18"/>
              </w:rPr>
              <w:t>Indeks (%)</w:t>
            </w:r>
          </w:p>
        </w:tc>
      </w:tr>
      <w:tr w:rsidR="003E20DF" w14:paraId="077CA229" w14:textId="77777777">
        <w:trPr>
          <w:cantSplit/>
          <w:trHeight w:val="560"/>
        </w:trPr>
        <w:tc>
          <w:tcPr>
            <w:tcW w:w="700" w:type="dxa"/>
            <w:tcMar>
              <w:top w:w="0" w:type="dxa"/>
              <w:bottom w:w="0" w:type="dxa"/>
            </w:tcMar>
            <w:vAlign w:val="center"/>
          </w:tcPr>
          <w:p w14:paraId="6BB29E98" w14:textId="77777777" w:rsidR="003E20DF" w:rsidRDefault="00F01A5C">
            <w:pPr>
              <w:keepNext/>
              <w:keepLines/>
              <w:spacing w:after="0" w:line="240" w:lineRule="auto"/>
            </w:pPr>
            <w:r>
              <w:rPr>
                <w:sz w:val="18"/>
              </w:rPr>
              <w:t>37</w:t>
            </w:r>
          </w:p>
        </w:tc>
        <w:tc>
          <w:tcPr>
            <w:tcW w:w="3180" w:type="dxa"/>
            <w:tcMar>
              <w:top w:w="0" w:type="dxa"/>
              <w:bottom w:w="0" w:type="dxa"/>
            </w:tcMar>
            <w:vAlign w:val="center"/>
          </w:tcPr>
          <w:p w14:paraId="3E7B0F61" w14:textId="77777777" w:rsidR="003E20DF" w:rsidRDefault="00F01A5C">
            <w:pPr>
              <w:keepNext/>
              <w:keepLines/>
              <w:spacing w:after="0" w:line="240" w:lineRule="auto"/>
            </w:pPr>
            <w:r>
              <w:rPr>
                <w:sz w:val="18"/>
              </w:rPr>
              <w:t>Naknade građanima i kućanstvima na temelju osiguranja i druge naknade (šifre 371+372)</w:t>
            </w:r>
          </w:p>
        </w:tc>
        <w:tc>
          <w:tcPr>
            <w:tcW w:w="700" w:type="dxa"/>
            <w:tcMar>
              <w:top w:w="0" w:type="dxa"/>
              <w:bottom w:w="0" w:type="dxa"/>
            </w:tcMar>
            <w:vAlign w:val="center"/>
          </w:tcPr>
          <w:p w14:paraId="1209C4D9" w14:textId="77777777" w:rsidR="003E20DF" w:rsidRDefault="00F01A5C">
            <w:pPr>
              <w:keepNext/>
              <w:keepLines/>
              <w:spacing w:after="0" w:line="240" w:lineRule="auto"/>
            </w:pPr>
            <w:r>
              <w:rPr>
                <w:sz w:val="18"/>
              </w:rPr>
              <w:t>37</w:t>
            </w:r>
          </w:p>
        </w:tc>
        <w:tc>
          <w:tcPr>
            <w:tcW w:w="1860" w:type="dxa"/>
            <w:tcMar>
              <w:top w:w="0" w:type="dxa"/>
              <w:bottom w:w="0" w:type="dxa"/>
            </w:tcMar>
            <w:vAlign w:val="center"/>
          </w:tcPr>
          <w:p w14:paraId="1BD16CAF" w14:textId="77777777" w:rsidR="003E20DF" w:rsidRDefault="00F01A5C">
            <w:pPr>
              <w:keepNext/>
              <w:keepLines/>
              <w:spacing w:after="0" w:line="240" w:lineRule="auto"/>
              <w:jc w:val="right"/>
            </w:pPr>
            <w:r>
              <w:rPr>
                <w:sz w:val="18"/>
              </w:rPr>
              <w:t>2.671.284,39</w:t>
            </w:r>
          </w:p>
        </w:tc>
        <w:tc>
          <w:tcPr>
            <w:tcW w:w="1860" w:type="dxa"/>
            <w:tcMar>
              <w:top w:w="0" w:type="dxa"/>
              <w:bottom w:w="0" w:type="dxa"/>
            </w:tcMar>
            <w:vAlign w:val="center"/>
          </w:tcPr>
          <w:p w14:paraId="4C4343B9" w14:textId="77777777" w:rsidR="003E20DF" w:rsidRDefault="00F01A5C">
            <w:pPr>
              <w:keepNext/>
              <w:keepLines/>
              <w:spacing w:after="0" w:line="240" w:lineRule="auto"/>
              <w:jc w:val="right"/>
            </w:pPr>
            <w:r>
              <w:rPr>
                <w:sz w:val="18"/>
              </w:rPr>
              <w:t>4.144.659,55</w:t>
            </w:r>
          </w:p>
        </w:tc>
        <w:tc>
          <w:tcPr>
            <w:tcW w:w="700" w:type="dxa"/>
            <w:tcMar>
              <w:top w:w="0" w:type="dxa"/>
              <w:bottom w:w="0" w:type="dxa"/>
            </w:tcMar>
            <w:vAlign w:val="center"/>
          </w:tcPr>
          <w:p w14:paraId="4B89FB5B" w14:textId="77777777" w:rsidR="003E20DF" w:rsidRDefault="00F01A5C">
            <w:pPr>
              <w:keepNext/>
              <w:keepLines/>
              <w:spacing w:after="0" w:line="240" w:lineRule="auto"/>
              <w:jc w:val="right"/>
            </w:pPr>
            <w:r>
              <w:rPr>
                <w:sz w:val="18"/>
              </w:rPr>
              <w:t>155,2</w:t>
            </w:r>
          </w:p>
        </w:tc>
      </w:tr>
    </w:tbl>
    <w:p w14:paraId="5365B90A" w14:textId="77777777" w:rsidR="003E20DF" w:rsidRDefault="003E20DF">
      <w:pPr>
        <w:spacing w:after="0"/>
      </w:pPr>
    </w:p>
    <w:p w14:paraId="00788CAE" w14:textId="77777777" w:rsidR="003E20DF" w:rsidRDefault="00F01A5C" w:rsidP="00882057">
      <w:pPr>
        <w:ind w:firstLine="708"/>
        <w:jc w:val="both"/>
      </w:pPr>
      <w:r>
        <w:t>Značajan rast u okviru ove šifre odnosi se na brigu i skrb za stanovništvo (naknade za troškove stanovanja, topli obrok Pučke kuhinje i sl.) te rashodi pronatalitetne politike (novčane pomoći za novorođenu djecu). Povećana su i izdvajanja za uskrsnice i božićnice za osječke umirovljenike.</w:t>
      </w:r>
    </w:p>
    <w:p w14:paraId="2BB98CBC" w14:textId="77777777" w:rsidR="003E20DF" w:rsidRDefault="003E20DF"/>
    <w:p w14:paraId="0858D182" w14:textId="77777777" w:rsidR="003E20DF" w:rsidRDefault="00F01A5C">
      <w:pPr>
        <w:keepNext/>
        <w:spacing w:line="240" w:lineRule="auto"/>
        <w:jc w:val="center"/>
      </w:pPr>
      <w:r>
        <w:rPr>
          <w:sz w:val="28"/>
        </w:rPr>
        <w:lastRenderedPageBreak/>
        <w:t>Bilješka 41.</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20DF" w14:paraId="5C2D35BE" w14:textId="77777777">
        <w:trPr>
          <w:cantSplit/>
        </w:trPr>
        <w:tc>
          <w:tcPr>
            <w:tcW w:w="700" w:type="dxa"/>
            <w:shd w:val="clear" w:color="auto" w:fill="E7F0F9"/>
            <w:tcMar>
              <w:top w:w="0" w:type="dxa"/>
              <w:bottom w:w="0" w:type="dxa"/>
            </w:tcMar>
            <w:vAlign w:val="center"/>
          </w:tcPr>
          <w:p w14:paraId="526A1299" w14:textId="77777777" w:rsidR="003E20DF" w:rsidRDefault="00F01A5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A5859C6" w14:textId="77777777" w:rsidR="003E20DF" w:rsidRDefault="00F01A5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A78EF86" w14:textId="77777777" w:rsidR="003E20DF" w:rsidRDefault="00F01A5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C89C56A" w14:textId="77777777" w:rsidR="003E20DF" w:rsidRDefault="00F01A5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C675643" w14:textId="77777777" w:rsidR="003E20DF" w:rsidRDefault="00F01A5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365319E" w14:textId="77777777" w:rsidR="003E20DF" w:rsidRDefault="00F01A5C">
            <w:pPr>
              <w:keepNext/>
              <w:keepLines/>
              <w:spacing w:after="0" w:line="240" w:lineRule="auto"/>
              <w:jc w:val="center"/>
            </w:pPr>
            <w:r>
              <w:rPr>
                <w:b/>
                <w:sz w:val="18"/>
              </w:rPr>
              <w:t>Indeks (%)</w:t>
            </w:r>
          </w:p>
        </w:tc>
      </w:tr>
      <w:tr w:rsidR="003E20DF" w14:paraId="743DDD93" w14:textId="77777777">
        <w:trPr>
          <w:cantSplit/>
          <w:trHeight w:val="560"/>
        </w:trPr>
        <w:tc>
          <w:tcPr>
            <w:tcW w:w="700" w:type="dxa"/>
            <w:tcMar>
              <w:top w:w="0" w:type="dxa"/>
              <w:bottom w:w="0" w:type="dxa"/>
            </w:tcMar>
            <w:vAlign w:val="center"/>
          </w:tcPr>
          <w:p w14:paraId="4D738E78" w14:textId="77777777" w:rsidR="003E20DF" w:rsidRDefault="00F01A5C">
            <w:pPr>
              <w:keepNext/>
              <w:keepLines/>
              <w:spacing w:after="0" w:line="240" w:lineRule="auto"/>
            </w:pPr>
            <w:r>
              <w:rPr>
                <w:sz w:val="18"/>
              </w:rPr>
              <w:t>3811</w:t>
            </w:r>
          </w:p>
        </w:tc>
        <w:tc>
          <w:tcPr>
            <w:tcW w:w="3180" w:type="dxa"/>
            <w:tcMar>
              <w:top w:w="0" w:type="dxa"/>
              <w:bottom w:w="0" w:type="dxa"/>
            </w:tcMar>
            <w:vAlign w:val="center"/>
          </w:tcPr>
          <w:p w14:paraId="652D6044" w14:textId="77777777" w:rsidR="003E20DF" w:rsidRDefault="00F01A5C">
            <w:pPr>
              <w:keepNext/>
              <w:keepLines/>
              <w:spacing w:after="0" w:line="240" w:lineRule="auto"/>
            </w:pPr>
            <w:r>
              <w:rPr>
                <w:sz w:val="18"/>
              </w:rPr>
              <w:t>Tekuće donacije u novcu</w:t>
            </w:r>
          </w:p>
        </w:tc>
        <w:tc>
          <w:tcPr>
            <w:tcW w:w="700" w:type="dxa"/>
            <w:tcMar>
              <w:top w:w="0" w:type="dxa"/>
              <w:bottom w:w="0" w:type="dxa"/>
            </w:tcMar>
            <w:vAlign w:val="center"/>
          </w:tcPr>
          <w:p w14:paraId="18D30645" w14:textId="77777777" w:rsidR="003E20DF" w:rsidRDefault="00F01A5C">
            <w:pPr>
              <w:keepNext/>
              <w:keepLines/>
              <w:spacing w:after="0" w:line="240" w:lineRule="auto"/>
            </w:pPr>
            <w:r>
              <w:rPr>
                <w:sz w:val="18"/>
              </w:rPr>
              <w:t>3811</w:t>
            </w:r>
          </w:p>
        </w:tc>
        <w:tc>
          <w:tcPr>
            <w:tcW w:w="1860" w:type="dxa"/>
            <w:tcMar>
              <w:top w:w="0" w:type="dxa"/>
              <w:bottom w:w="0" w:type="dxa"/>
            </w:tcMar>
            <w:vAlign w:val="center"/>
          </w:tcPr>
          <w:p w14:paraId="72A43851" w14:textId="77777777" w:rsidR="003E20DF" w:rsidRDefault="00F01A5C">
            <w:pPr>
              <w:keepNext/>
              <w:keepLines/>
              <w:spacing w:after="0" w:line="240" w:lineRule="auto"/>
              <w:jc w:val="right"/>
            </w:pPr>
            <w:r>
              <w:rPr>
                <w:sz w:val="18"/>
              </w:rPr>
              <w:t>4.624.567,86</w:t>
            </w:r>
          </w:p>
        </w:tc>
        <w:tc>
          <w:tcPr>
            <w:tcW w:w="1860" w:type="dxa"/>
            <w:tcMar>
              <w:top w:w="0" w:type="dxa"/>
              <w:bottom w:w="0" w:type="dxa"/>
            </w:tcMar>
            <w:vAlign w:val="center"/>
          </w:tcPr>
          <w:p w14:paraId="21115E8F" w14:textId="77777777" w:rsidR="003E20DF" w:rsidRDefault="00F01A5C">
            <w:pPr>
              <w:keepNext/>
              <w:keepLines/>
              <w:spacing w:after="0" w:line="240" w:lineRule="auto"/>
              <w:jc w:val="right"/>
            </w:pPr>
            <w:r>
              <w:rPr>
                <w:sz w:val="18"/>
              </w:rPr>
              <w:t>5.577.193,98</w:t>
            </w:r>
          </w:p>
        </w:tc>
        <w:tc>
          <w:tcPr>
            <w:tcW w:w="700" w:type="dxa"/>
            <w:tcMar>
              <w:top w:w="0" w:type="dxa"/>
              <w:bottom w:w="0" w:type="dxa"/>
            </w:tcMar>
            <w:vAlign w:val="center"/>
          </w:tcPr>
          <w:p w14:paraId="3265536A" w14:textId="77777777" w:rsidR="003E20DF" w:rsidRDefault="00F01A5C">
            <w:pPr>
              <w:keepNext/>
              <w:keepLines/>
              <w:spacing w:after="0" w:line="240" w:lineRule="auto"/>
              <w:jc w:val="right"/>
            </w:pPr>
            <w:r>
              <w:rPr>
                <w:sz w:val="18"/>
              </w:rPr>
              <w:t>120,6</w:t>
            </w:r>
          </w:p>
        </w:tc>
      </w:tr>
    </w:tbl>
    <w:p w14:paraId="046A48F7" w14:textId="77777777" w:rsidR="003E20DF" w:rsidRDefault="003E20DF">
      <w:pPr>
        <w:spacing w:after="0"/>
      </w:pPr>
    </w:p>
    <w:p w14:paraId="7C7DE93E" w14:textId="77777777" w:rsidR="003E20DF" w:rsidRDefault="00F01A5C" w:rsidP="00882057">
      <w:pPr>
        <w:ind w:firstLine="708"/>
        <w:jc w:val="both"/>
      </w:pPr>
      <w:r>
        <w:t>Tekuće donacije u novcu odnose se na doznaku sportskim društvima, privatnim dječjim vrtićima, vjerskim zajednicama, nacionalnim manjinama te sredstva za rad političkih stranaka i dr.</w:t>
      </w:r>
    </w:p>
    <w:p w14:paraId="0569F49A" w14:textId="77777777" w:rsidR="003E20DF" w:rsidRDefault="003E20DF"/>
    <w:p w14:paraId="4CD95BD6" w14:textId="77777777" w:rsidR="003E20DF" w:rsidRDefault="00F01A5C">
      <w:pPr>
        <w:keepNext/>
        <w:spacing w:line="240" w:lineRule="auto"/>
        <w:jc w:val="center"/>
      </w:pPr>
      <w:r>
        <w:rPr>
          <w:sz w:val="28"/>
        </w:rPr>
        <w:t>Bilješka 42.</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20DF" w14:paraId="452FD142" w14:textId="77777777">
        <w:trPr>
          <w:cantSplit/>
        </w:trPr>
        <w:tc>
          <w:tcPr>
            <w:tcW w:w="700" w:type="dxa"/>
            <w:shd w:val="clear" w:color="auto" w:fill="E7F0F9"/>
            <w:tcMar>
              <w:top w:w="0" w:type="dxa"/>
              <w:bottom w:w="0" w:type="dxa"/>
            </w:tcMar>
            <w:vAlign w:val="center"/>
          </w:tcPr>
          <w:p w14:paraId="49A4FACE" w14:textId="77777777" w:rsidR="003E20DF" w:rsidRDefault="00F01A5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9369769" w14:textId="77777777" w:rsidR="003E20DF" w:rsidRDefault="00F01A5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E5B8A89" w14:textId="77777777" w:rsidR="003E20DF" w:rsidRDefault="00F01A5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8DE791F" w14:textId="77777777" w:rsidR="003E20DF" w:rsidRDefault="00F01A5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9D95B73" w14:textId="77777777" w:rsidR="003E20DF" w:rsidRDefault="00F01A5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29625AB" w14:textId="77777777" w:rsidR="003E20DF" w:rsidRDefault="00F01A5C">
            <w:pPr>
              <w:keepNext/>
              <w:keepLines/>
              <w:spacing w:after="0" w:line="240" w:lineRule="auto"/>
              <w:jc w:val="center"/>
            </w:pPr>
            <w:r>
              <w:rPr>
                <w:b/>
                <w:sz w:val="18"/>
              </w:rPr>
              <w:t>Indeks (%)</w:t>
            </w:r>
          </w:p>
        </w:tc>
      </w:tr>
      <w:tr w:rsidR="003E20DF" w14:paraId="1F628CD6" w14:textId="77777777">
        <w:trPr>
          <w:cantSplit/>
          <w:trHeight w:val="560"/>
        </w:trPr>
        <w:tc>
          <w:tcPr>
            <w:tcW w:w="700" w:type="dxa"/>
            <w:tcMar>
              <w:top w:w="0" w:type="dxa"/>
              <w:bottom w:w="0" w:type="dxa"/>
            </w:tcMar>
            <w:vAlign w:val="center"/>
          </w:tcPr>
          <w:p w14:paraId="567BBD66" w14:textId="77777777" w:rsidR="003E20DF" w:rsidRDefault="00F01A5C">
            <w:pPr>
              <w:keepNext/>
              <w:keepLines/>
              <w:spacing w:after="0" w:line="240" w:lineRule="auto"/>
            </w:pPr>
            <w:r>
              <w:rPr>
                <w:sz w:val="18"/>
              </w:rPr>
              <w:t>382</w:t>
            </w:r>
          </w:p>
        </w:tc>
        <w:tc>
          <w:tcPr>
            <w:tcW w:w="3180" w:type="dxa"/>
            <w:tcMar>
              <w:top w:w="0" w:type="dxa"/>
              <w:bottom w:w="0" w:type="dxa"/>
            </w:tcMar>
            <w:vAlign w:val="center"/>
          </w:tcPr>
          <w:p w14:paraId="641DC586" w14:textId="77777777" w:rsidR="003E20DF" w:rsidRDefault="00F01A5C">
            <w:pPr>
              <w:keepNext/>
              <w:keepLines/>
              <w:spacing w:after="0" w:line="240" w:lineRule="auto"/>
            </w:pPr>
            <w:r>
              <w:rPr>
                <w:sz w:val="18"/>
              </w:rPr>
              <w:t>Kapitalne donacije (šifre 3821 do 3824)</w:t>
            </w:r>
          </w:p>
        </w:tc>
        <w:tc>
          <w:tcPr>
            <w:tcW w:w="700" w:type="dxa"/>
            <w:tcMar>
              <w:top w:w="0" w:type="dxa"/>
              <w:bottom w:w="0" w:type="dxa"/>
            </w:tcMar>
            <w:vAlign w:val="center"/>
          </w:tcPr>
          <w:p w14:paraId="652F8CDB" w14:textId="77777777" w:rsidR="003E20DF" w:rsidRDefault="00F01A5C">
            <w:pPr>
              <w:keepNext/>
              <w:keepLines/>
              <w:spacing w:after="0" w:line="240" w:lineRule="auto"/>
            </w:pPr>
            <w:r>
              <w:rPr>
                <w:sz w:val="18"/>
              </w:rPr>
              <w:t>382</w:t>
            </w:r>
          </w:p>
        </w:tc>
        <w:tc>
          <w:tcPr>
            <w:tcW w:w="1860" w:type="dxa"/>
            <w:tcMar>
              <w:top w:w="0" w:type="dxa"/>
              <w:bottom w:w="0" w:type="dxa"/>
            </w:tcMar>
            <w:vAlign w:val="center"/>
          </w:tcPr>
          <w:p w14:paraId="6C3B8BF7" w14:textId="77777777" w:rsidR="003E20DF" w:rsidRDefault="00F01A5C">
            <w:pPr>
              <w:keepNext/>
              <w:keepLines/>
              <w:spacing w:after="0" w:line="240" w:lineRule="auto"/>
              <w:jc w:val="right"/>
            </w:pPr>
            <w:r>
              <w:rPr>
                <w:sz w:val="18"/>
              </w:rPr>
              <w:t>229.318,55</w:t>
            </w:r>
          </w:p>
        </w:tc>
        <w:tc>
          <w:tcPr>
            <w:tcW w:w="1860" w:type="dxa"/>
            <w:tcMar>
              <w:top w:w="0" w:type="dxa"/>
              <w:bottom w:w="0" w:type="dxa"/>
            </w:tcMar>
            <w:vAlign w:val="center"/>
          </w:tcPr>
          <w:p w14:paraId="43757DD6" w14:textId="77777777" w:rsidR="003E20DF" w:rsidRDefault="00F01A5C">
            <w:pPr>
              <w:keepNext/>
              <w:keepLines/>
              <w:spacing w:after="0" w:line="240" w:lineRule="auto"/>
              <w:jc w:val="right"/>
            </w:pPr>
            <w:r>
              <w:rPr>
                <w:sz w:val="18"/>
              </w:rPr>
              <w:t>373.988,54</w:t>
            </w:r>
          </w:p>
        </w:tc>
        <w:tc>
          <w:tcPr>
            <w:tcW w:w="700" w:type="dxa"/>
            <w:tcMar>
              <w:top w:w="0" w:type="dxa"/>
              <w:bottom w:w="0" w:type="dxa"/>
            </w:tcMar>
            <w:vAlign w:val="center"/>
          </w:tcPr>
          <w:p w14:paraId="0D69655E" w14:textId="77777777" w:rsidR="003E20DF" w:rsidRDefault="00F01A5C">
            <w:pPr>
              <w:keepNext/>
              <w:keepLines/>
              <w:spacing w:after="0" w:line="240" w:lineRule="auto"/>
              <w:jc w:val="right"/>
            </w:pPr>
            <w:r>
              <w:rPr>
                <w:sz w:val="18"/>
              </w:rPr>
              <w:t>163,1</w:t>
            </w:r>
          </w:p>
        </w:tc>
      </w:tr>
    </w:tbl>
    <w:p w14:paraId="22C19E5F" w14:textId="77777777" w:rsidR="003E20DF" w:rsidRDefault="003E20DF">
      <w:pPr>
        <w:spacing w:after="0"/>
      </w:pPr>
    </w:p>
    <w:p w14:paraId="78E577ED" w14:textId="61EB30E1" w:rsidR="003E20DF" w:rsidRDefault="00F01A5C" w:rsidP="00882057">
      <w:pPr>
        <w:ind w:firstLine="708"/>
        <w:jc w:val="both"/>
      </w:pPr>
      <w:r>
        <w:t>U izvještajnom razdoblju ova stavka bilježi povećanje za 144.669,99 eura, a koja se odnosi na obnovu objekata kulturne baštine, donacije vjerskim zajednicama i gradnju i obnovu građevinskih objekata koje Grad sufinancira iz sredstava spomeničke rente sukladno usvojenoj Listi obnove.</w:t>
      </w:r>
    </w:p>
    <w:p w14:paraId="1636C200" w14:textId="77777777" w:rsidR="003E20DF" w:rsidRDefault="003E20DF"/>
    <w:p w14:paraId="4DBD3A10" w14:textId="77777777" w:rsidR="003E20DF" w:rsidRDefault="00F01A5C">
      <w:pPr>
        <w:keepNext/>
        <w:spacing w:line="240" w:lineRule="auto"/>
        <w:jc w:val="center"/>
      </w:pPr>
      <w:r>
        <w:rPr>
          <w:sz w:val="28"/>
        </w:rPr>
        <w:t>Bilješka 43.</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20DF" w14:paraId="2B6AC0BC" w14:textId="77777777">
        <w:trPr>
          <w:cantSplit/>
        </w:trPr>
        <w:tc>
          <w:tcPr>
            <w:tcW w:w="700" w:type="dxa"/>
            <w:shd w:val="clear" w:color="auto" w:fill="E7F0F9"/>
            <w:tcMar>
              <w:top w:w="0" w:type="dxa"/>
              <w:bottom w:w="0" w:type="dxa"/>
            </w:tcMar>
            <w:vAlign w:val="center"/>
          </w:tcPr>
          <w:p w14:paraId="6F695D43" w14:textId="77777777" w:rsidR="003E20DF" w:rsidRDefault="00F01A5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82BD14C" w14:textId="77777777" w:rsidR="003E20DF" w:rsidRDefault="00F01A5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4091120" w14:textId="77777777" w:rsidR="003E20DF" w:rsidRDefault="00F01A5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AE2BB29" w14:textId="77777777" w:rsidR="003E20DF" w:rsidRDefault="00F01A5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732F920" w14:textId="77777777" w:rsidR="003E20DF" w:rsidRDefault="00F01A5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98C0364" w14:textId="77777777" w:rsidR="003E20DF" w:rsidRDefault="00F01A5C">
            <w:pPr>
              <w:keepNext/>
              <w:keepLines/>
              <w:spacing w:after="0" w:line="240" w:lineRule="auto"/>
              <w:jc w:val="center"/>
            </w:pPr>
            <w:r>
              <w:rPr>
                <w:b/>
                <w:sz w:val="18"/>
              </w:rPr>
              <w:t>Indeks (%)</w:t>
            </w:r>
          </w:p>
        </w:tc>
      </w:tr>
      <w:tr w:rsidR="003E20DF" w14:paraId="021665EC" w14:textId="77777777">
        <w:trPr>
          <w:cantSplit/>
          <w:trHeight w:val="560"/>
        </w:trPr>
        <w:tc>
          <w:tcPr>
            <w:tcW w:w="700" w:type="dxa"/>
            <w:tcMar>
              <w:top w:w="0" w:type="dxa"/>
              <w:bottom w:w="0" w:type="dxa"/>
            </w:tcMar>
            <w:vAlign w:val="center"/>
          </w:tcPr>
          <w:p w14:paraId="3970C8FC" w14:textId="77777777" w:rsidR="003E20DF" w:rsidRDefault="00F01A5C">
            <w:pPr>
              <w:keepNext/>
              <w:keepLines/>
              <w:spacing w:after="0" w:line="240" w:lineRule="auto"/>
            </w:pPr>
            <w:r>
              <w:rPr>
                <w:sz w:val="18"/>
              </w:rPr>
              <w:t>96</w:t>
            </w:r>
          </w:p>
        </w:tc>
        <w:tc>
          <w:tcPr>
            <w:tcW w:w="3180" w:type="dxa"/>
            <w:tcMar>
              <w:top w:w="0" w:type="dxa"/>
              <w:bottom w:w="0" w:type="dxa"/>
            </w:tcMar>
            <w:vAlign w:val="center"/>
          </w:tcPr>
          <w:p w14:paraId="36DB3979" w14:textId="77777777" w:rsidR="003E20DF" w:rsidRDefault="00F01A5C">
            <w:pPr>
              <w:keepNext/>
              <w:keepLines/>
              <w:spacing w:after="0" w:line="240" w:lineRule="auto"/>
            </w:pPr>
            <w:r>
              <w:rPr>
                <w:sz w:val="18"/>
              </w:rPr>
              <w:t>Obračunati prihodi poslovanja - nenaplaćeni</w:t>
            </w:r>
          </w:p>
        </w:tc>
        <w:tc>
          <w:tcPr>
            <w:tcW w:w="700" w:type="dxa"/>
            <w:tcMar>
              <w:top w:w="0" w:type="dxa"/>
              <w:bottom w:w="0" w:type="dxa"/>
            </w:tcMar>
            <w:vAlign w:val="center"/>
          </w:tcPr>
          <w:p w14:paraId="1338AD34" w14:textId="77777777" w:rsidR="003E20DF" w:rsidRDefault="00F01A5C">
            <w:pPr>
              <w:keepNext/>
              <w:keepLines/>
              <w:spacing w:after="0" w:line="240" w:lineRule="auto"/>
            </w:pPr>
            <w:r>
              <w:rPr>
                <w:sz w:val="18"/>
              </w:rPr>
              <w:t>96</w:t>
            </w:r>
          </w:p>
        </w:tc>
        <w:tc>
          <w:tcPr>
            <w:tcW w:w="1860" w:type="dxa"/>
            <w:tcMar>
              <w:top w:w="0" w:type="dxa"/>
              <w:bottom w:w="0" w:type="dxa"/>
            </w:tcMar>
            <w:vAlign w:val="center"/>
          </w:tcPr>
          <w:p w14:paraId="005959FE" w14:textId="77777777" w:rsidR="003E20DF" w:rsidRDefault="00F01A5C">
            <w:pPr>
              <w:keepNext/>
              <w:keepLines/>
              <w:spacing w:after="0" w:line="240" w:lineRule="auto"/>
              <w:jc w:val="right"/>
            </w:pPr>
            <w:r>
              <w:rPr>
                <w:sz w:val="18"/>
              </w:rPr>
              <w:t>3.301.012,63</w:t>
            </w:r>
          </w:p>
        </w:tc>
        <w:tc>
          <w:tcPr>
            <w:tcW w:w="1860" w:type="dxa"/>
            <w:tcMar>
              <w:top w:w="0" w:type="dxa"/>
              <w:bottom w:w="0" w:type="dxa"/>
            </w:tcMar>
            <w:vAlign w:val="center"/>
          </w:tcPr>
          <w:p w14:paraId="7EDE1E4A" w14:textId="77777777" w:rsidR="003E20DF" w:rsidRDefault="00F01A5C">
            <w:pPr>
              <w:keepNext/>
              <w:keepLines/>
              <w:spacing w:after="0" w:line="240" w:lineRule="auto"/>
              <w:jc w:val="right"/>
            </w:pPr>
            <w:r>
              <w:rPr>
                <w:sz w:val="18"/>
              </w:rPr>
              <w:t>7.875.669,52</w:t>
            </w:r>
          </w:p>
        </w:tc>
        <w:tc>
          <w:tcPr>
            <w:tcW w:w="700" w:type="dxa"/>
            <w:tcMar>
              <w:top w:w="0" w:type="dxa"/>
              <w:bottom w:w="0" w:type="dxa"/>
            </w:tcMar>
            <w:vAlign w:val="center"/>
          </w:tcPr>
          <w:p w14:paraId="2A3D05DB" w14:textId="77777777" w:rsidR="003E20DF" w:rsidRDefault="00F01A5C">
            <w:pPr>
              <w:keepNext/>
              <w:keepLines/>
              <w:spacing w:after="0" w:line="240" w:lineRule="auto"/>
              <w:jc w:val="right"/>
            </w:pPr>
            <w:r>
              <w:rPr>
                <w:sz w:val="18"/>
              </w:rPr>
              <w:t>238,6</w:t>
            </w:r>
          </w:p>
        </w:tc>
      </w:tr>
    </w:tbl>
    <w:p w14:paraId="3050CD87" w14:textId="77777777" w:rsidR="003E20DF" w:rsidRDefault="003E20DF">
      <w:pPr>
        <w:spacing w:after="0"/>
      </w:pPr>
    </w:p>
    <w:p w14:paraId="26E96FC4" w14:textId="77777777" w:rsidR="003E20DF" w:rsidRDefault="00F01A5C" w:rsidP="00882057">
      <w:pPr>
        <w:ind w:firstLine="708"/>
        <w:jc w:val="both"/>
      </w:pPr>
      <w:r>
        <w:t>Značajno povećanje u 2025. godini se odnosi na obračunata potraživanja za kapitalne pomoći iz državnog proračuna temeljem prijenosa EU, a vezano za projekte financirane putem ITU mehanizma, NPOO i dr.</w:t>
      </w:r>
    </w:p>
    <w:p w14:paraId="647173C3" w14:textId="77777777" w:rsidR="003E20DF" w:rsidRDefault="003E20DF"/>
    <w:p w14:paraId="6F72FD91" w14:textId="77777777" w:rsidR="003E20DF" w:rsidRDefault="00F01A5C">
      <w:pPr>
        <w:keepNext/>
        <w:spacing w:line="240" w:lineRule="auto"/>
        <w:jc w:val="center"/>
      </w:pPr>
      <w:r>
        <w:rPr>
          <w:sz w:val="28"/>
        </w:rPr>
        <w:t>Bilješka 44.</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20DF" w14:paraId="4D89F5CB" w14:textId="77777777">
        <w:trPr>
          <w:cantSplit/>
        </w:trPr>
        <w:tc>
          <w:tcPr>
            <w:tcW w:w="700" w:type="dxa"/>
            <w:shd w:val="clear" w:color="auto" w:fill="E7F0F9"/>
            <w:tcMar>
              <w:top w:w="0" w:type="dxa"/>
              <w:bottom w:w="0" w:type="dxa"/>
            </w:tcMar>
            <w:vAlign w:val="center"/>
          </w:tcPr>
          <w:p w14:paraId="29769BF0" w14:textId="77777777" w:rsidR="003E20DF" w:rsidRDefault="00F01A5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6490E32" w14:textId="77777777" w:rsidR="003E20DF" w:rsidRDefault="00F01A5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BB25CFE" w14:textId="77777777" w:rsidR="003E20DF" w:rsidRDefault="00F01A5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4A66B65" w14:textId="77777777" w:rsidR="003E20DF" w:rsidRDefault="00F01A5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F72C38D" w14:textId="77777777" w:rsidR="003E20DF" w:rsidRDefault="00F01A5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0C4EB76" w14:textId="77777777" w:rsidR="003E20DF" w:rsidRDefault="00F01A5C">
            <w:pPr>
              <w:keepNext/>
              <w:keepLines/>
              <w:spacing w:after="0" w:line="240" w:lineRule="auto"/>
              <w:jc w:val="center"/>
            </w:pPr>
            <w:r>
              <w:rPr>
                <w:b/>
                <w:sz w:val="18"/>
              </w:rPr>
              <w:t>Indeks (%)</w:t>
            </w:r>
          </w:p>
        </w:tc>
      </w:tr>
      <w:tr w:rsidR="003E20DF" w14:paraId="3A251828" w14:textId="77777777">
        <w:trPr>
          <w:cantSplit/>
          <w:trHeight w:val="560"/>
        </w:trPr>
        <w:tc>
          <w:tcPr>
            <w:tcW w:w="700" w:type="dxa"/>
            <w:tcMar>
              <w:top w:w="0" w:type="dxa"/>
              <w:bottom w:w="0" w:type="dxa"/>
            </w:tcMar>
            <w:vAlign w:val="center"/>
          </w:tcPr>
          <w:p w14:paraId="40A74430" w14:textId="77777777" w:rsidR="003E20DF" w:rsidRDefault="00F01A5C">
            <w:pPr>
              <w:keepNext/>
              <w:keepLines/>
              <w:spacing w:after="0" w:line="240" w:lineRule="auto"/>
            </w:pPr>
            <w:r>
              <w:rPr>
                <w:sz w:val="18"/>
              </w:rPr>
              <w:t>7111</w:t>
            </w:r>
          </w:p>
        </w:tc>
        <w:tc>
          <w:tcPr>
            <w:tcW w:w="3180" w:type="dxa"/>
            <w:tcMar>
              <w:top w:w="0" w:type="dxa"/>
              <w:bottom w:w="0" w:type="dxa"/>
            </w:tcMar>
            <w:vAlign w:val="center"/>
          </w:tcPr>
          <w:p w14:paraId="6BEFBE4D" w14:textId="77777777" w:rsidR="003E20DF" w:rsidRDefault="00F01A5C">
            <w:pPr>
              <w:keepNext/>
              <w:keepLines/>
              <w:spacing w:after="0" w:line="240" w:lineRule="auto"/>
            </w:pPr>
            <w:r>
              <w:rPr>
                <w:sz w:val="18"/>
              </w:rPr>
              <w:t>Zemljište</w:t>
            </w:r>
          </w:p>
        </w:tc>
        <w:tc>
          <w:tcPr>
            <w:tcW w:w="700" w:type="dxa"/>
            <w:tcMar>
              <w:top w:w="0" w:type="dxa"/>
              <w:bottom w:w="0" w:type="dxa"/>
            </w:tcMar>
            <w:vAlign w:val="center"/>
          </w:tcPr>
          <w:p w14:paraId="67647A25" w14:textId="77777777" w:rsidR="003E20DF" w:rsidRDefault="00F01A5C">
            <w:pPr>
              <w:keepNext/>
              <w:keepLines/>
              <w:spacing w:after="0" w:line="240" w:lineRule="auto"/>
            </w:pPr>
            <w:r>
              <w:rPr>
                <w:sz w:val="18"/>
              </w:rPr>
              <w:t>7111</w:t>
            </w:r>
          </w:p>
        </w:tc>
        <w:tc>
          <w:tcPr>
            <w:tcW w:w="1860" w:type="dxa"/>
            <w:tcMar>
              <w:top w:w="0" w:type="dxa"/>
              <w:bottom w:w="0" w:type="dxa"/>
            </w:tcMar>
            <w:vAlign w:val="center"/>
          </w:tcPr>
          <w:p w14:paraId="14AEC61F" w14:textId="77777777" w:rsidR="003E20DF" w:rsidRDefault="00F01A5C">
            <w:pPr>
              <w:keepNext/>
              <w:keepLines/>
              <w:spacing w:after="0" w:line="240" w:lineRule="auto"/>
              <w:jc w:val="right"/>
            </w:pPr>
            <w:r>
              <w:rPr>
                <w:sz w:val="18"/>
              </w:rPr>
              <w:t>2.959.152,14</w:t>
            </w:r>
          </w:p>
        </w:tc>
        <w:tc>
          <w:tcPr>
            <w:tcW w:w="1860" w:type="dxa"/>
            <w:tcMar>
              <w:top w:w="0" w:type="dxa"/>
              <w:bottom w:w="0" w:type="dxa"/>
            </w:tcMar>
            <w:vAlign w:val="center"/>
          </w:tcPr>
          <w:p w14:paraId="0FF33D3A" w14:textId="77777777" w:rsidR="003E20DF" w:rsidRDefault="00F01A5C">
            <w:pPr>
              <w:keepNext/>
              <w:keepLines/>
              <w:spacing w:after="0" w:line="240" w:lineRule="auto"/>
              <w:jc w:val="right"/>
            </w:pPr>
            <w:r>
              <w:rPr>
                <w:sz w:val="18"/>
              </w:rPr>
              <w:t>853.046,27</w:t>
            </w:r>
          </w:p>
        </w:tc>
        <w:tc>
          <w:tcPr>
            <w:tcW w:w="700" w:type="dxa"/>
            <w:tcMar>
              <w:top w:w="0" w:type="dxa"/>
              <w:bottom w:w="0" w:type="dxa"/>
            </w:tcMar>
            <w:vAlign w:val="center"/>
          </w:tcPr>
          <w:p w14:paraId="018082C3" w14:textId="77777777" w:rsidR="003E20DF" w:rsidRDefault="00F01A5C">
            <w:pPr>
              <w:keepNext/>
              <w:keepLines/>
              <w:spacing w:after="0" w:line="240" w:lineRule="auto"/>
              <w:jc w:val="right"/>
            </w:pPr>
            <w:r>
              <w:rPr>
                <w:sz w:val="18"/>
              </w:rPr>
              <w:t>28,8</w:t>
            </w:r>
          </w:p>
        </w:tc>
      </w:tr>
    </w:tbl>
    <w:p w14:paraId="3C1C7B8B" w14:textId="77777777" w:rsidR="003E20DF" w:rsidRDefault="003E20DF">
      <w:pPr>
        <w:spacing w:after="0"/>
      </w:pPr>
    </w:p>
    <w:p w14:paraId="2BBC4D9A" w14:textId="77777777" w:rsidR="003E20DF" w:rsidRDefault="00F01A5C" w:rsidP="00882057">
      <w:pPr>
        <w:ind w:firstLine="708"/>
        <w:jc w:val="both"/>
      </w:pPr>
      <w:r>
        <w:t xml:space="preserve">Značajno je smanjenje ovih prihoda u odnosu na 2024. iz razloga što u izvještajnom razdoblju 2025. nije bilo značajnijih natječaja za prodaju građevinskog zemljišta, dok je u 2024. </w:t>
      </w:r>
      <w:r>
        <w:lastRenderedPageBreak/>
        <w:t>naplaćena prodaja zemljišta u gospodarskoj zoni Nemetin. U izvještajnom razdoblju ostvaren je prihod od 853.046,27 eura, od čega je s osnova prodaje zemljišta bez izvršnog akta u vlasništvu RH ostvareno 267.236,76 eura, građevinskog zemljišta u poslovnoj zoni 16.110,00 eura, poljoprivrednog zemljišta 2.838,95 eura, dok je preostali iznos građevinsko zemljište putem natječaja. </w:t>
      </w:r>
    </w:p>
    <w:p w14:paraId="71F9D912" w14:textId="77777777" w:rsidR="003E20DF" w:rsidRDefault="003E20DF"/>
    <w:p w14:paraId="1909765C" w14:textId="77777777" w:rsidR="003E20DF" w:rsidRDefault="00F01A5C">
      <w:pPr>
        <w:keepNext/>
        <w:spacing w:line="240" w:lineRule="auto"/>
        <w:jc w:val="center"/>
      </w:pPr>
      <w:r>
        <w:rPr>
          <w:sz w:val="28"/>
        </w:rPr>
        <w:t>Bilješka 45.</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20DF" w14:paraId="1CA32B49" w14:textId="77777777">
        <w:trPr>
          <w:cantSplit/>
        </w:trPr>
        <w:tc>
          <w:tcPr>
            <w:tcW w:w="700" w:type="dxa"/>
            <w:shd w:val="clear" w:color="auto" w:fill="E7F0F9"/>
            <w:tcMar>
              <w:top w:w="0" w:type="dxa"/>
              <w:bottom w:w="0" w:type="dxa"/>
            </w:tcMar>
            <w:vAlign w:val="center"/>
          </w:tcPr>
          <w:p w14:paraId="1B0E73C7" w14:textId="77777777" w:rsidR="003E20DF" w:rsidRDefault="00F01A5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47C504B" w14:textId="77777777" w:rsidR="003E20DF" w:rsidRDefault="00F01A5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210D2A" w14:textId="77777777" w:rsidR="003E20DF" w:rsidRDefault="00F01A5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F02B56A" w14:textId="77777777" w:rsidR="003E20DF" w:rsidRDefault="00F01A5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5F65CFA" w14:textId="77777777" w:rsidR="003E20DF" w:rsidRDefault="00F01A5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759D73E" w14:textId="77777777" w:rsidR="003E20DF" w:rsidRDefault="00F01A5C">
            <w:pPr>
              <w:keepNext/>
              <w:keepLines/>
              <w:spacing w:after="0" w:line="240" w:lineRule="auto"/>
              <w:jc w:val="center"/>
            </w:pPr>
            <w:r>
              <w:rPr>
                <w:b/>
                <w:sz w:val="18"/>
              </w:rPr>
              <w:t>Indeks (%)</w:t>
            </w:r>
          </w:p>
        </w:tc>
      </w:tr>
      <w:tr w:rsidR="003E20DF" w14:paraId="12F90BA5" w14:textId="77777777">
        <w:trPr>
          <w:cantSplit/>
          <w:trHeight w:val="560"/>
        </w:trPr>
        <w:tc>
          <w:tcPr>
            <w:tcW w:w="700" w:type="dxa"/>
            <w:tcMar>
              <w:top w:w="0" w:type="dxa"/>
              <w:bottom w:w="0" w:type="dxa"/>
            </w:tcMar>
            <w:vAlign w:val="center"/>
          </w:tcPr>
          <w:p w14:paraId="3AC0471E" w14:textId="77777777" w:rsidR="003E20DF" w:rsidRDefault="00F01A5C">
            <w:pPr>
              <w:keepNext/>
              <w:keepLines/>
              <w:spacing w:after="0" w:line="240" w:lineRule="auto"/>
            </w:pPr>
            <w:r>
              <w:rPr>
                <w:sz w:val="18"/>
              </w:rPr>
              <w:t>7211</w:t>
            </w:r>
          </w:p>
        </w:tc>
        <w:tc>
          <w:tcPr>
            <w:tcW w:w="3180" w:type="dxa"/>
            <w:tcMar>
              <w:top w:w="0" w:type="dxa"/>
              <w:bottom w:w="0" w:type="dxa"/>
            </w:tcMar>
            <w:vAlign w:val="center"/>
          </w:tcPr>
          <w:p w14:paraId="7D751B31" w14:textId="77777777" w:rsidR="003E20DF" w:rsidRDefault="00F01A5C">
            <w:pPr>
              <w:keepNext/>
              <w:keepLines/>
              <w:spacing w:after="0" w:line="240" w:lineRule="auto"/>
            </w:pPr>
            <w:r>
              <w:rPr>
                <w:sz w:val="18"/>
              </w:rPr>
              <w:t>Stambeni objekti</w:t>
            </w:r>
          </w:p>
        </w:tc>
        <w:tc>
          <w:tcPr>
            <w:tcW w:w="700" w:type="dxa"/>
            <w:tcMar>
              <w:top w:w="0" w:type="dxa"/>
              <w:bottom w:w="0" w:type="dxa"/>
            </w:tcMar>
            <w:vAlign w:val="center"/>
          </w:tcPr>
          <w:p w14:paraId="10A12A14" w14:textId="77777777" w:rsidR="003E20DF" w:rsidRDefault="00F01A5C">
            <w:pPr>
              <w:keepNext/>
              <w:keepLines/>
              <w:spacing w:after="0" w:line="240" w:lineRule="auto"/>
            </w:pPr>
            <w:r>
              <w:rPr>
                <w:sz w:val="18"/>
              </w:rPr>
              <w:t>7211</w:t>
            </w:r>
          </w:p>
        </w:tc>
        <w:tc>
          <w:tcPr>
            <w:tcW w:w="1860" w:type="dxa"/>
            <w:tcMar>
              <w:top w:w="0" w:type="dxa"/>
              <w:bottom w:w="0" w:type="dxa"/>
            </w:tcMar>
            <w:vAlign w:val="center"/>
          </w:tcPr>
          <w:p w14:paraId="11D7FDBC" w14:textId="77777777" w:rsidR="003E20DF" w:rsidRDefault="00F01A5C">
            <w:pPr>
              <w:keepNext/>
              <w:keepLines/>
              <w:spacing w:after="0" w:line="240" w:lineRule="auto"/>
              <w:jc w:val="right"/>
            </w:pPr>
            <w:r>
              <w:rPr>
                <w:sz w:val="18"/>
              </w:rPr>
              <w:t>274.755,42</w:t>
            </w:r>
          </w:p>
        </w:tc>
        <w:tc>
          <w:tcPr>
            <w:tcW w:w="1860" w:type="dxa"/>
            <w:tcMar>
              <w:top w:w="0" w:type="dxa"/>
              <w:bottom w:w="0" w:type="dxa"/>
            </w:tcMar>
            <w:vAlign w:val="center"/>
          </w:tcPr>
          <w:p w14:paraId="262DDF2E" w14:textId="77777777" w:rsidR="003E20DF" w:rsidRDefault="00F01A5C">
            <w:pPr>
              <w:keepNext/>
              <w:keepLines/>
              <w:spacing w:after="0" w:line="240" w:lineRule="auto"/>
              <w:jc w:val="right"/>
            </w:pPr>
            <w:r>
              <w:rPr>
                <w:sz w:val="18"/>
              </w:rPr>
              <w:t>304.040,25</w:t>
            </w:r>
          </w:p>
        </w:tc>
        <w:tc>
          <w:tcPr>
            <w:tcW w:w="700" w:type="dxa"/>
            <w:tcMar>
              <w:top w:w="0" w:type="dxa"/>
              <w:bottom w:w="0" w:type="dxa"/>
            </w:tcMar>
            <w:vAlign w:val="center"/>
          </w:tcPr>
          <w:p w14:paraId="48D79EEF" w14:textId="77777777" w:rsidR="003E20DF" w:rsidRDefault="00F01A5C">
            <w:pPr>
              <w:keepNext/>
              <w:keepLines/>
              <w:spacing w:after="0" w:line="240" w:lineRule="auto"/>
              <w:jc w:val="right"/>
            </w:pPr>
            <w:r>
              <w:rPr>
                <w:sz w:val="18"/>
              </w:rPr>
              <w:t>110,7</w:t>
            </w:r>
          </w:p>
        </w:tc>
      </w:tr>
    </w:tbl>
    <w:p w14:paraId="77408417" w14:textId="77777777" w:rsidR="003E20DF" w:rsidRDefault="003E20DF">
      <w:pPr>
        <w:spacing w:after="0"/>
      </w:pPr>
    </w:p>
    <w:p w14:paraId="01186DAE" w14:textId="77777777" w:rsidR="003E20DF" w:rsidRDefault="00F01A5C" w:rsidP="00882057">
      <w:pPr>
        <w:ind w:firstLine="708"/>
        <w:jc w:val="both"/>
      </w:pPr>
      <w:r>
        <w:t>Prihodi od prodaje stambenih objekata odnose se na prodaju stanova temeljem gradske odluke u iznosu 191.690,05 eura, braniteljskih i nadstojničkih stanova u iznosu 60.698,72 eura, dok je preostali iznos vezan za pripadajući dio Grada (45%) od obročne otplate stanova. </w:t>
      </w:r>
    </w:p>
    <w:p w14:paraId="2134617D" w14:textId="77777777" w:rsidR="003E20DF" w:rsidRDefault="003E20DF"/>
    <w:p w14:paraId="718CB181" w14:textId="77777777" w:rsidR="003E20DF" w:rsidRDefault="00F01A5C">
      <w:pPr>
        <w:keepNext/>
        <w:spacing w:line="240" w:lineRule="auto"/>
        <w:jc w:val="center"/>
      </w:pPr>
      <w:r>
        <w:rPr>
          <w:sz w:val="28"/>
        </w:rPr>
        <w:t>Bilješka 46.</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20DF" w14:paraId="172D5913" w14:textId="77777777">
        <w:trPr>
          <w:cantSplit/>
        </w:trPr>
        <w:tc>
          <w:tcPr>
            <w:tcW w:w="700" w:type="dxa"/>
            <w:shd w:val="clear" w:color="auto" w:fill="E7F0F9"/>
            <w:tcMar>
              <w:top w:w="0" w:type="dxa"/>
              <w:bottom w:w="0" w:type="dxa"/>
            </w:tcMar>
            <w:vAlign w:val="center"/>
          </w:tcPr>
          <w:p w14:paraId="3D8296F0" w14:textId="77777777" w:rsidR="003E20DF" w:rsidRDefault="00F01A5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5E55B2A" w14:textId="77777777" w:rsidR="003E20DF" w:rsidRDefault="00F01A5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AE73C43" w14:textId="77777777" w:rsidR="003E20DF" w:rsidRDefault="00F01A5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3FFC6A8" w14:textId="77777777" w:rsidR="003E20DF" w:rsidRDefault="00F01A5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674FF96" w14:textId="77777777" w:rsidR="003E20DF" w:rsidRDefault="00F01A5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17DEE57" w14:textId="77777777" w:rsidR="003E20DF" w:rsidRDefault="00F01A5C">
            <w:pPr>
              <w:keepNext/>
              <w:keepLines/>
              <w:spacing w:after="0" w:line="240" w:lineRule="auto"/>
              <w:jc w:val="center"/>
            </w:pPr>
            <w:r>
              <w:rPr>
                <w:b/>
                <w:sz w:val="18"/>
              </w:rPr>
              <w:t>Indeks (%)</w:t>
            </w:r>
          </w:p>
        </w:tc>
      </w:tr>
      <w:tr w:rsidR="003E20DF" w14:paraId="42F45124" w14:textId="77777777">
        <w:trPr>
          <w:cantSplit/>
          <w:trHeight w:val="560"/>
        </w:trPr>
        <w:tc>
          <w:tcPr>
            <w:tcW w:w="700" w:type="dxa"/>
            <w:tcMar>
              <w:top w:w="0" w:type="dxa"/>
              <w:bottom w:w="0" w:type="dxa"/>
            </w:tcMar>
            <w:vAlign w:val="center"/>
          </w:tcPr>
          <w:p w14:paraId="41BEDCBC" w14:textId="77777777" w:rsidR="003E20DF" w:rsidRDefault="00F01A5C">
            <w:pPr>
              <w:keepNext/>
              <w:keepLines/>
              <w:spacing w:after="0" w:line="240" w:lineRule="auto"/>
            </w:pPr>
            <w:r>
              <w:rPr>
                <w:sz w:val="18"/>
              </w:rPr>
              <w:t>7212</w:t>
            </w:r>
          </w:p>
        </w:tc>
        <w:tc>
          <w:tcPr>
            <w:tcW w:w="3180" w:type="dxa"/>
            <w:tcMar>
              <w:top w:w="0" w:type="dxa"/>
              <w:bottom w:w="0" w:type="dxa"/>
            </w:tcMar>
            <w:vAlign w:val="center"/>
          </w:tcPr>
          <w:p w14:paraId="5226DFED" w14:textId="77777777" w:rsidR="003E20DF" w:rsidRDefault="00F01A5C">
            <w:pPr>
              <w:keepNext/>
              <w:keepLines/>
              <w:spacing w:after="0" w:line="240" w:lineRule="auto"/>
            </w:pPr>
            <w:r>
              <w:rPr>
                <w:sz w:val="18"/>
              </w:rPr>
              <w:t>Poslovni objekti</w:t>
            </w:r>
          </w:p>
        </w:tc>
        <w:tc>
          <w:tcPr>
            <w:tcW w:w="700" w:type="dxa"/>
            <w:tcMar>
              <w:top w:w="0" w:type="dxa"/>
              <w:bottom w:w="0" w:type="dxa"/>
            </w:tcMar>
            <w:vAlign w:val="center"/>
          </w:tcPr>
          <w:p w14:paraId="386979D0" w14:textId="77777777" w:rsidR="003E20DF" w:rsidRDefault="00F01A5C">
            <w:pPr>
              <w:keepNext/>
              <w:keepLines/>
              <w:spacing w:after="0" w:line="240" w:lineRule="auto"/>
            </w:pPr>
            <w:r>
              <w:rPr>
                <w:sz w:val="18"/>
              </w:rPr>
              <w:t>7212</w:t>
            </w:r>
          </w:p>
        </w:tc>
        <w:tc>
          <w:tcPr>
            <w:tcW w:w="1860" w:type="dxa"/>
            <w:tcMar>
              <w:top w:w="0" w:type="dxa"/>
              <w:bottom w:w="0" w:type="dxa"/>
            </w:tcMar>
            <w:vAlign w:val="center"/>
          </w:tcPr>
          <w:p w14:paraId="4172FDEC" w14:textId="77777777" w:rsidR="003E20DF" w:rsidRDefault="00F01A5C">
            <w:pPr>
              <w:keepNext/>
              <w:keepLines/>
              <w:spacing w:after="0" w:line="240" w:lineRule="auto"/>
              <w:jc w:val="right"/>
            </w:pPr>
            <w:r>
              <w:rPr>
                <w:sz w:val="18"/>
              </w:rPr>
              <w:t>129.502,19</w:t>
            </w:r>
          </w:p>
        </w:tc>
        <w:tc>
          <w:tcPr>
            <w:tcW w:w="1860" w:type="dxa"/>
            <w:tcMar>
              <w:top w:w="0" w:type="dxa"/>
              <w:bottom w:w="0" w:type="dxa"/>
            </w:tcMar>
            <w:vAlign w:val="center"/>
          </w:tcPr>
          <w:p w14:paraId="73842D02" w14:textId="77777777" w:rsidR="003E20DF" w:rsidRDefault="00F01A5C">
            <w:pPr>
              <w:keepNext/>
              <w:keepLines/>
              <w:spacing w:after="0" w:line="240" w:lineRule="auto"/>
              <w:jc w:val="right"/>
            </w:pPr>
            <w:r>
              <w:rPr>
                <w:sz w:val="18"/>
              </w:rPr>
              <w:t>6.146.500,00</w:t>
            </w:r>
          </w:p>
        </w:tc>
        <w:tc>
          <w:tcPr>
            <w:tcW w:w="700" w:type="dxa"/>
            <w:tcMar>
              <w:top w:w="0" w:type="dxa"/>
              <w:bottom w:w="0" w:type="dxa"/>
            </w:tcMar>
            <w:vAlign w:val="center"/>
          </w:tcPr>
          <w:p w14:paraId="30BFA39B" w14:textId="77777777" w:rsidR="003E20DF" w:rsidRDefault="00F01A5C">
            <w:pPr>
              <w:keepNext/>
              <w:keepLines/>
              <w:spacing w:after="0" w:line="240" w:lineRule="auto"/>
              <w:jc w:val="right"/>
            </w:pPr>
            <w:r>
              <w:rPr>
                <w:sz w:val="18"/>
              </w:rPr>
              <w:t>4746,3</w:t>
            </w:r>
          </w:p>
        </w:tc>
      </w:tr>
    </w:tbl>
    <w:p w14:paraId="31D9B822" w14:textId="77777777" w:rsidR="003E20DF" w:rsidRDefault="003E20DF">
      <w:pPr>
        <w:spacing w:after="0"/>
      </w:pPr>
    </w:p>
    <w:p w14:paraId="0879B2F7" w14:textId="77777777" w:rsidR="003E20DF" w:rsidRDefault="00F01A5C" w:rsidP="00882057">
      <w:pPr>
        <w:ind w:firstLine="708"/>
        <w:jc w:val="both"/>
      </w:pPr>
      <w:r>
        <w:t>Povećanje u okviru ove šifre vezano je za zamjenu nekretnina s Republikom Hrvatskom, pri čemu je Grad Osijek stekao zemljište na kojem se planira graditi nova poslovna zgrada tvrtke Unikom d.o.o. vrijednosti 6.260.000,00 eura, dok je istovremeno Republika Hrvatska stekla zgradu u Fakultetskoj 2 (zgrada ''Vege'') za potrebe proširenja Državnog arhiva vrijednosti 6.070.000,00 eura. Preostali iznos od 190.000,00 eura Grad je uplatio u Državni proračun.</w:t>
      </w:r>
    </w:p>
    <w:p w14:paraId="3FD37390" w14:textId="77777777" w:rsidR="003E20DF" w:rsidRDefault="003E20DF"/>
    <w:p w14:paraId="2E05403E" w14:textId="77777777" w:rsidR="003E20DF" w:rsidRDefault="00F01A5C">
      <w:pPr>
        <w:keepNext/>
        <w:spacing w:line="240" w:lineRule="auto"/>
        <w:jc w:val="center"/>
      </w:pPr>
      <w:r>
        <w:rPr>
          <w:sz w:val="28"/>
        </w:rPr>
        <w:t>Bilješka 47.</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20DF" w14:paraId="7354999C" w14:textId="77777777">
        <w:trPr>
          <w:cantSplit/>
        </w:trPr>
        <w:tc>
          <w:tcPr>
            <w:tcW w:w="700" w:type="dxa"/>
            <w:shd w:val="clear" w:color="auto" w:fill="E7F0F9"/>
            <w:tcMar>
              <w:top w:w="0" w:type="dxa"/>
              <w:bottom w:w="0" w:type="dxa"/>
            </w:tcMar>
            <w:vAlign w:val="center"/>
          </w:tcPr>
          <w:p w14:paraId="1A7E57B4" w14:textId="77777777" w:rsidR="003E20DF" w:rsidRDefault="00F01A5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BF74B4F" w14:textId="77777777" w:rsidR="003E20DF" w:rsidRDefault="00F01A5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9111B5F" w14:textId="77777777" w:rsidR="003E20DF" w:rsidRDefault="00F01A5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53E727" w14:textId="77777777" w:rsidR="003E20DF" w:rsidRDefault="00F01A5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DD77C44" w14:textId="77777777" w:rsidR="003E20DF" w:rsidRDefault="00F01A5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EC6FFEA" w14:textId="77777777" w:rsidR="003E20DF" w:rsidRDefault="00F01A5C">
            <w:pPr>
              <w:keepNext/>
              <w:keepLines/>
              <w:spacing w:after="0" w:line="240" w:lineRule="auto"/>
              <w:jc w:val="center"/>
            </w:pPr>
            <w:r>
              <w:rPr>
                <w:b/>
                <w:sz w:val="18"/>
              </w:rPr>
              <w:t>Indeks (%)</w:t>
            </w:r>
          </w:p>
        </w:tc>
      </w:tr>
      <w:tr w:rsidR="003E20DF" w14:paraId="249A137A" w14:textId="77777777">
        <w:trPr>
          <w:cantSplit/>
          <w:trHeight w:val="560"/>
        </w:trPr>
        <w:tc>
          <w:tcPr>
            <w:tcW w:w="700" w:type="dxa"/>
            <w:tcMar>
              <w:top w:w="0" w:type="dxa"/>
              <w:bottom w:w="0" w:type="dxa"/>
            </w:tcMar>
            <w:vAlign w:val="center"/>
          </w:tcPr>
          <w:p w14:paraId="0F95DB34" w14:textId="77777777" w:rsidR="003E20DF" w:rsidRDefault="00F01A5C">
            <w:pPr>
              <w:keepNext/>
              <w:keepLines/>
              <w:spacing w:after="0" w:line="240" w:lineRule="auto"/>
            </w:pPr>
            <w:r>
              <w:rPr>
                <w:sz w:val="18"/>
              </w:rPr>
              <w:t>7221</w:t>
            </w:r>
          </w:p>
        </w:tc>
        <w:tc>
          <w:tcPr>
            <w:tcW w:w="3180" w:type="dxa"/>
            <w:tcMar>
              <w:top w:w="0" w:type="dxa"/>
              <w:bottom w:w="0" w:type="dxa"/>
            </w:tcMar>
            <w:vAlign w:val="center"/>
          </w:tcPr>
          <w:p w14:paraId="0307122A" w14:textId="77777777" w:rsidR="003E20DF" w:rsidRDefault="00F01A5C">
            <w:pPr>
              <w:keepNext/>
              <w:keepLines/>
              <w:spacing w:after="0" w:line="240" w:lineRule="auto"/>
            </w:pPr>
            <w:r>
              <w:rPr>
                <w:sz w:val="18"/>
              </w:rPr>
              <w:t>Uredska oprema i namještaj</w:t>
            </w:r>
          </w:p>
        </w:tc>
        <w:tc>
          <w:tcPr>
            <w:tcW w:w="700" w:type="dxa"/>
            <w:tcMar>
              <w:top w:w="0" w:type="dxa"/>
              <w:bottom w:w="0" w:type="dxa"/>
            </w:tcMar>
            <w:vAlign w:val="center"/>
          </w:tcPr>
          <w:p w14:paraId="4150988B" w14:textId="77777777" w:rsidR="003E20DF" w:rsidRDefault="00F01A5C">
            <w:pPr>
              <w:keepNext/>
              <w:keepLines/>
              <w:spacing w:after="0" w:line="240" w:lineRule="auto"/>
            </w:pPr>
            <w:r>
              <w:rPr>
                <w:sz w:val="18"/>
              </w:rPr>
              <w:t>7221</w:t>
            </w:r>
          </w:p>
        </w:tc>
        <w:tc>
          <w:tcPr>
            <w:tcW w:w="1860" w:type="dxa"/>
            <w:tcMar>
              <w:top w:w="0" w:type="dxa"/>
              <w:bottom w:w="0" w:type="dxa"/>
            </w:tcMar>
            <w:vAlign w:val="center"/>
          </w:tcPr>
          <w:p w14:paraId="4BF8EAAF" w14:textId="77777777" w:rsidR="003E20DF" w:rsidRDefault="00F01A5C">
            <w:pPr>
              <w:keepNext/>
              <w:keepLines/>
              <w:spacing w:after="0" w:line="240" w:lineRule="auto"/>
              <w:jc w:val="right"/>
            </w:pPr>
            <w:r>
              <w:rPr>
                <w:sz w:val="18"/>
              </w:rPr>
              <w:t>10.249,00</w:t>
            </w:r>
          </w:p>
        </w:tc>
        <w:tc>
          <w:tcPr>
            <w:tcW w:w="1860" w:type="dxa"/>
            <w:tcMar>
              <w:top w:w="0" w:type="dxa"/>
              <w:bottom w:w="0" w:type="dxa"/>
            </w:tcMar>
            <w:vAlign w:val="center"/>
          </w:tcPr>
          <w:p w14:paraId="2750126B" w14:textId="77777777" w:rsidR="003E20DF" w:rsidRDefault="00F01A5C">
            <w:pPr>
              <w:keepNext/>
              <w:keepLines/>
              <w:spacing w:after="0" w:line="240" w:lineRule="auto"/>
              <w:jc w:val="right"/>
            </w:pPr>
            <w:r>
              <w:rPr>
                <w:sz w:val="18"/>
              </w:rPr>
              <w:t>552,94</w:t>
            </w:r>
          </w:p>
        </w:tc>
        <w:tc>
          <w:tcPr>
            <w:tcW w:w="700" w:type="dxa"/>
            <w:tcMar>
              <w:top w:w="0" w:type="dxa"/>
              <w:bottom w:w="0" w:type="dxa"/>
            </w:tcMar>
            <w:vAlign w:val="center"/>
          </w:tcPr>
          <w:p w14:paraId="45DF5A5A" w14:textId="77777777" w:rsidR="003E20DF" w:rsidRDefault="00F01A5C">
            <w:pPr>
              <w:keepNext/>
              <w:keepLines/>
              <w:spacing w:after="0" w:line="240" w:lineRule="auto"/>
              <w:jc w:val="right"/>
            </w:pPr>
            <w:r>
              <w:rPr>
                <w:sz w:val="18"/>
              </w:rPr>
              <w:t>5,4</w:t>
            </w:r>
          </w:p>
        </w:tc>
      </w:tr>
    </w:tbl>
    <w:p w14:paraId="45E9EE8F" w14:textId="77777777" w:rsidR="003E20DF" w:rsidRDefault="003E20DF">
      <w:pPr>
        <w:spacing w:after="0"/>
      </w:pPr>
    </w:p>
    <w:p w14:paraId="3A71C97A" w14:textId="23D628F5" w:rsidR="003E20DF" w:rsidRDefault="00F01A5C" w:rsidP="00882057">
      <w:pPr>
        <w:ind w:firstLine="708"/>
        <w:jc w:val="both"/>
      </w:pPr>
      <w:r>
        <w:t>U okviru ove šifre u 2024. godini iskazana je donacija računala Ministarstvu unutarnjih poslova u iznosu od 9.992,50 eura dok je u 2025. izvršen otkup računalne opreme sukladno unutarnjim aktima Grada</w:t>
      </w:r>
      <w:r w:rsidR="00643908">
        <w:t>.</w:t>
      </w:r>
    </w:p>
    <w:p w14:paraId="3A4B2BE1" w14:textId="77777777" w:rsidR="003E20DF" w:rsidRDefault="003E20DF"/>
    <w:p w14:paraId="70DF396B" w14:textId="77777777" w:rsidR="003E20DF" w:rsidRDefault="00F01A5C">
      <w:pPr>
        <w:keepNext/>
        <w:spacing w:line="240" w:lineRule="auto"/>
        <w:jc w:val="center"/>
      </w:pPr>
      <w:r>
        <w:rPr>
          <w:sz w:val="28"/>
        </w:rPr>
        <w:lastRenderedPageBreak/>
        <w:t>Bilješka 48.</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20DF" w14:paraId="13768A7A" w14:textId="77777777">
        <w:trPr>
          <w:cantSplit/>
        </w:trPr>
        <w:tc>
          <w:tcPr>
            <w:tcW w:w="700" w:type="dxa"/>
            <w:shd w:val="clear" w:color="auto" w:fill="E7F0F9"/>
            <w:tcMar>
              <w:top w:w="0" w:type="dxa"/>
              <w:bottom w:w="0" w:type="dxa"/>
            </w:tcMar>
            <w:vAlign w:val="center"/>
          </w:tcPr>
          <w:p w14:paraId="3EAAA02D" w14:textId="77777777" w:rsidR="003E20DF" w:rsidRDefault="00F01A5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2CFC42D" w14:textId="77777777" w:rsidR="003E20DF" w:rsidRDefault="00F01A5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7A5C66A" w14:textId="77777777" w:rsidR="003E20DF" w:rsidRDefault="00F01A5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DB9C911" w14:textId="77777777" w:rsidR="003E20DF" w:rsidRDefault="00F01A5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B6374FB" w14:textId="77777777" w:rsidR="003E20DF" w:rsidRDefault="00F01A5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18B98EC" w14:textId="77777777" w:rsidR="003E20DF" w:rsidRDefault="00F01A5C">
            <w:pPr>
              <w:keepNext/>
              <w:keepLines/>
              <w:spacing w:after="0" w:line="240" w:lineRule="auto"/>
              <w:jc w:val="center"/>
            </w:pPr>
            <w:r>
              <w:rPr>
                <w:b/>
                <w:sz w:val="18"/>
              </w:rPr>
              <w:t>Indeks (%)</w:t>
            </w:r>
          </w:p>
        </w:tc>
      </w:tr>
      <w:tr w:rsidR="003E20DF" w14:paraId="0CBABCAC" w14:textId="77777777">
        <w:trPr>
          <w:cantSplit/>
          <w:trHeight w:val="560"/>
        </w:trPr>
        <w:tc>
          <w:tcPr>
            <w:tcW w:w="700" w:type="dxa"/>
            <w:tcMar>
              <w:top w:w="0" w:type="dxa"/>
              <w:bottom w:w="0" w:type="dxa"/>
            </w:tcMar>
            <w:vAlign w:val="center"/>
          </w:tcPr>
          <w:p w14:paraId="45AB1DCC" w14:textId="77777777" w:rsidR="003E20DF" w:rsidRDefault="00F01A5C">
            <w:pPr>
              <w:keepNext/>
              <w:keepLines/>
              <w:spacing w:after="0" w:line="240" w:lineRule="auto"/>
            </w:pPr>
            <w:r>
              <w:rPr>
                <w:sz w:val="18"/>
              </w:rPr>
              <w:t>723</w:t>
            </w:r>
          </w:p>
        </w:tc>
        <w:tc>
          <w:tcPr>
            <w:tcW w:w="3180" w:type="dxa"/>
            <w:tcMar>
              <w:top w:w="0" w:type="dxa"/>
              <w:bottom w:w="0" w:type="dxa"/>
            </w:tcMar>
            <w:vAlign w:val="center"/>
          </w:tcPr>
          <w:p w14:paraId="50A2ECC8" w14:textId="77777777" w:rsidR="003E20DF" w:rsidRDefault="00F01A5C">
            <w:pPr>
              <w:keepNext/>
              <w:keepLines/>
              <w:spacing w:after="0" w:line="240" w:lineRule="auto"/>
            </w:pPr>
            <w:r>
              <w:rPr>
                <w:sz w:val="18"/>
              </w:rPr>
              <w:t>Prihodi od prodaje prijevoznih sredstava (šifre 7231 do 7234)</w:t>
            </w:r>
          </w:p>
        </w:tc>
        <w:tc>
          <w:tcPr>
            <w:tcW w:w="700" w:type="dxa"/>
            <w:tcMar>
              <w:top w:w="0" w:type="dxa"/>
              <w:bottom w:w="0" w:type="dxa"/>
            </w:tcMar>
            <w:vAlign w:val="center"/>
          </w:tcPr>
          <w:p w14:paraId="15628E0C" w14:textId="77777777" w:rsidR="003E20DF" w:rsidRDefault="00F01A5C">
            <w:pPr>
              <w:keepNext/>
              <w:keepLines/>
              <w:spacing w:after="0" w:line="240" w:lineRule="auto"/>
            </w:pPr>
            <w:r>
              <w:rPr>
                <w:sz w:val="18"/>
              </w:rPr>
              <w:t>723</w:t>
            </w:r>
          </w:p>
        </w:tc>
        <w:tc>
          <w:tcPr>
            <w:tcW w:w="1860" w:type="dxa"/>
            <w:tcMar>
              <w:top w:w="0" w:type="dxa"/>
              <w:bottom w:w="0" w:type="dxa"/>
            </w:tcMar>
            <w:vAlign w:val="center"/>
          </w:tcPr>
          <w:p w14:paraId="00F03097" w14:textId="77777777" w:rsidR="003E20DF" w:rsidRDefault="00F01A5C">
            <w:pPr>
              <w:keepNext/>
              <w:keepLines/>
              <w:spacing w:after="0" w:line="240" w:lineRule="auto"/>
              <w:jc w:val="right"/>
            </w:pPr>
            <w:r>
              <w:rPr>
                <w:sz w:val="18"/>
              </w:rPr>
              <w:t>0,00</w:t>
            </w:r>
          </w:p>
        </w:tc>
        <w:tc>
          <w:tcPr>
            <w:tcW w:w="1860" w:type="dxa"/>
            <w:tcMar>
              <w:top w:w="0" w:type="dxa"/>
              <w:bottom w:w="0" w:type="dxa"/>
            </w:tcMar>
            <w:vAlign w:val="center"/>
          </w:tcPr>
          <w:p w14:paraId="1984B63F" w14:textId="77777777" w:rsidR="003E20DF" w:rsidRDefault="00F01A5C">
            <w:pPr>
              <w:keepNext/>
              <w:keepLines/>
              <w:spacing w:after="0" w:line="240" w:lineRule="auto"/>
              <w:jc w:val="right"/>
            </w:pPr>
            <w:r>
              <w:rPr>
                <w:sz w:val="18"/>
              </w:rPr>
              <w:t>11.992,00</w:t>
            </w:r>
          </w:p>
        </w:tc>
        <w:tc>
          <w:tcPr>
            <w:tcW w:w="700" w:type="dxa"/>
            <w:tcMar>
              <w:top w:w="0" w:type="dxa"/>
              <w:bottom w:w="0" w:type="dxa"/>
            </w:tcMar>
            <w:vAlign w:val="center"/>
          </w:tcPr>
          <w:p w14:paraId="13505ADE" w14:textId="77777777" w:rsidR="003E20DF" w:rsidRDefault="00F01A5C">
            <w:pPr>
              <w:keepNext/>
              <w:keepLines/>
              <w:spacing w:after="0" w:line="240" w:lineRule="auto"/>
              <w:jc w:val="right"/>
            </w:pPr>
            <w:r>
              <w:rPr>
                <w:sz w:val="18"/>
              </w:rPr>
              <w:t>-</w:t>
            </w:r>
          </w:p>
        </w:tc>
      </w:tr>
    </w:tbl>
    <w:p w14:paraId="72E4CF49" w14:textId="77777777" w:rsidR="003E20DF" w:rsidRDefault="003E20DF">
      <w:pPr>
        <w:spacing w:after="0"/>
      </w:pPr>
    </w:p>
    <w:p w14:paraId="4EF11FF0" w14:textId="77777777" w:rsidR="003E20DF" w:rsidRDefault="00F01A5C">
      <w:r>
        <w:t>U 2025. putem natječaja izvršena je prodaja rashodovanog službenog vozila.</w:t>
      </w:r>
    </w:p>
    <w:p w14:paraId="13631886" w14:textId="77777777" w:rsidR="003E20DF" w:rsidRDefault="003E20DF"/>
    <w:p w14:paraId="5BB09A74" w14:textId="77777777" w:rsidR="003E20DF" w:rsidRDefault="00F01A5C">
      <w:pPr>
        <w:keepNext/>
        <w:spacing w:line="240" w:lineRule="auto"/>
        <w:jc w:val="center"/>
      </w:pPr>
      <w:r>
        <w:rPr>
          <w:sz w:val="28"/>
        </w:rPr>
        <w:t>Bilješka 49.</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20DF" w14:paraId="3D780091" w14:textId="77777777">
        <w:trPr>
          <w:cantSplit/>
        </w:trPr>
        <w:tc>
          <w:tcPr>
            <w:tcW w:w="700" w:type="dxa"/>
            <w:shd w:val="clear" w:color="auto" w:fill="E7F0F9"/>
            <w:tcMar>
              <w:top w:w="0" w:type="dxa"/>
              <w:bottom w:w="0" w:type="dxa"/>
            </w:tcMar>
            <w:vAlign w:val="center"/>
          </w:tcPr>
          <w:p w14:paraId="212242D0" w14:textId="77777777" w:rsidR="003E20DF" w:rsidRDefault="00F01A5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A69E3E7" w14:textId="77777777" w:rsidR="003E20DF" w:rsidRDefault="00F01A5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B58F38E" w14:textId="77777777" w:rsidR="003E20DF" w:rsidRDefault="00F01A5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E8451DE" w14:textId="77777777" w:rsidR="003E20DF" w:rsidRDefault="00F01A5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545B632" w14:textId="77777777" w:rsidR="003E20DF" w:rsidRDefault="00F01A5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E6B8271" w14:textId="77777777" w:rsidR="003E20DF" w:rsidRDefault="00F01A5C">
            <w:pPr>
              <w:keepNext/>
              <w:keepLines/>
              <w:spacing w:after="0" w:line="240" w:lineRule="auto"/>
              <w:jc w:val="center"/>
            </w:pPr>
            <w:r>
              <w:rPr>
                <w:b/>
                <w:sz w:val="18"/>
              </w:rPr>
              <w:t>Indeks (%)</w:t>
            </w:r>
          </w:p>
        </w:tc>
      </w:tr>
      <w:tr w:rsidR="003E20DF" w14:paraId="3E5C6F88" w14:textId="77777777">
        <w:trPr>
          <w:cantSplit/>
          <w:trHeight w:val="560"/>
        </w:trPr>
        <w:tc>
          <w:tcPr>
            <w:tcW w:w="700" w:type="dxa"/>
            <w:tcMar>
              <w:top w:w="0" w:type="dxa"/>
              <w:bottom w:w="0" w:type="dxa"/>
            </w:tcMar>
            <w:vAlign w:val="center"/>
          </w:tcPr>
          <w:p w14:paraId="3FBA9A82" w14:textId="77777777" w:rsidR="003E20DF" w:rsidRDefault="00F01A5C">
            <w:pPr>
              <w:keepNext/>
              <w:keepLines/>
              <w:spacing w:after="0" w:line="240" w:lineRule="auto"/>
            </w:pPr>
            <w:r>
              <w:rPr>
                <w:sz w:val="18"/>
              </w:rPr>
              <w:t>4111</w:t>
            </w:r>
          </w:p>
        </w:tc>
        <w:tc>
          <w:tcPr>
            <w:tcW w:w="3180" w:type="dxa"/>
            <w:tcMar>
              <w:top w:w="0" w:type="dxa"/>
              <w:bottom w:w="0" w:type="dxa"/>
            </w:tcMar>
            <w:vAlign w:val="center"/>
          </w:tcPr>
          <w:p w14:paraId="74C65347" w14:textId="77777777" w:rsidR="003E20DF" w:rsidRDefault="00F01A5C">
            <w:pPr>
              <w:keepNext/>
              <w:keepLines/>
              <w:spacing w:after="0" w:line="240" w:lineRule="auto"/>
            </w:pPr>
            <w:r>
              <w:rPr>
                <w:sz w:val="18"/>
              </w:rPr>
              <w:t>Zemljište</w:t>
            </w:r>
          </w:p>
        </w:tc>
        <w:tc>
          <w:tcPr>
            <w:tcW w:w="700" w:type="dxa"/>
            <w:tcMar>
              <w:top w:w="0" w:type="dxa"/>
              <w:bottom w:w="0" w:type="dxa"/>
            </w:tcMar>
            <w:vAlign w:val="center"/>
          </w:tcPr>
          <w:p w14:paraId="7775B3C4" w14:textId="77777777" w:rsidR="003E20DF" w:rsidRDefault="00F01A5C">
            <w:pPr>
              <w:keepNext/>
              <w:keepLines/>
              <w:spacing w:after="0" w:line="240" w:lineRule="auto"/>
            </w:pPr>
            <w:r>
              <w:rPr>
                <w:sz w:val="18"/>
              </w:rPr>
              <w:t>4111</w:t>
            </w:r>
          </w:p>
        </w:tc>
        <w:tc>
          <w:tcPr>
            <w:tcW w:w="1860" w:type="dxa"/>
            <w:tcMar>
              <w:top w:w="0" w:type="dxa"/>
              <w:bottom w:w="0" w:type="dxa"/>
            </w:tcMar>
            <w:vAlign w:val="center"/>
          </w:tcPr>
          <w:p w14:paraId="797E5279" w14:textId="77777777" w:rsidR="003E20DF" w:rsidRDefault="00F01A5C">
            <w:pPr>
              <w:keepNext/>
              <w:keepLines/>
              <w:spacing w:after="0" w:line="240" w:lineRule="auto"/>
              <w:jc w:val="right"/>
            </w:pPr>
            <w:r>
              <w:rPr>
                <w:sz w:val="18"/>
              </w:rPr>
              <w:t>442.129,49</w:t>
            </w:r>
          </w:p>
        </w:tc>
        <w:tc>
          <w:tcPr>
            <w:tcW w:w="1860" w:type="dxa"/>
            <w:tcMar>
              <w:top w:w="0" w:type="dxa"/>
              <w:bottom w:w="0" w:type="dxa"/>
            </w:tcMar>
            <w:vAlign w:val="center"/>
          </w:tcPr>
          <w:p w14:paraId="7E2ED7ED" w14:textId="77777777" w:rsidR="003E20DF" w:rsidRDefault="00F01A5C">
            <w:pPr>
              <w:keepNext/>
              <w:keepLines/>
              <w:spacing w:after="0" w:line="240" w:lineRule="auto"/>
              <w:jc w:val="right"/>
            </w:pPr>
            <w:r>
              <w:rPr>
                <w:sz w:val="18"/>
              </w:rPr>
              <w:t>6.439.900,00</w:t>
            </w:r>
          </w:p>
        </w:tc>
        <w:tc>
          <w:tcPr>
            <w:tcW w:w="700" w:type="dxa"/>
            <w:tcMar>
              <w:top w:w="0" w:type="dxa"/>
              <w:bottom w:w="0" w:type="dxa"/>
            </w:tcMar>
            <w:vAlign w:val="center"/>
          </w:tcPr>
          <w:p w14:paraId="661E958F" w14:textId="77777777" w:rsidR="003E20DF" w:rsidRDefault="00F01A5C">
            <w:pPr>
              <w:keepNext/>
              <w:keepLines/>
              <w:spacing w:after="0" w:line="240" w:lineRule="auto"/>
              <w:jc w:val="right"/>
            </w:pPr>
            <w:r>
              <w:rPr>
                <w:sz w:val="18"/>
              </w:rPr>
              <w:t>1456,6</w:t>
            </w:r>
          </w:p>
        </w:tc>
      </w:tr>
    </w:tbl>
    <w:p w14:paraId="7B2F9369" w14:textId="77777777" w:rsidR="003E20DF" w:rsidRDefault="003E20DF">
      <w:pPr>
        <w:spacing w:after="0"/>
      </w:pPr>
    </w:p>
    <w:p w14:paraId="6B372FA2" w14:textId="77777777" w:rsidR="003E20DF" w:rsidRDefault="00F01A5C" w:rsidP="00882057">
      <w:pPr>
        <w:ind w:firstLine="708"/>
        <w:jc w:val="both"/>
      </w:pPr>
      <w:r>
        <w:t>Povećanje u okviru ovih rashoda vezano je za navedenu zamjenu nekretnina s Republikom Hrvatskom, pri čemu je Grad Osijek stekao zemljište planirane namjene preseljenja komunalnog trgovačkog društva u većinskom vlasništvu Grada Unikom d.o.o.. Nadalje izvršena je zamjena s društvom Divmar d.o.o..</w:t>
      </w:r>
    </w:p>
    <w:p w14:paraId="3F2B49DF" w14:textId="77777777" w:rsidR="003E20DF" w:rsidRDefault="003E20DF"/>
    <w:p w14:paraId="7ABDB8C4" w14:textId="77777777" w:rsidR="003E20DF" w:rsidRDefault="00F01A5C">
      <w:pPr>
        <w:keepNext/>
        <w:spacing w:line="240" w:lineRule="auto"/>
        <w:jc w:val="center"/>
      </w:pPr>
      <w:r>
        <w:rPr>
          <w:sz w:val="28"/>
        </w:rPr>
        <w:t>Bilješka 50.</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20DF" w14:paraId="113B261E" w14:textId="77777777">
        <w:trPr>
          <w:cantSplit/>
        </w:trPr>
        <w:tc>
          <w:tcPr>
            <w:tcW w:w="700" w:type="dxa"/>
            <w:shd w:val="clear" w:color="auto" w:fill="E7F0F9"/>
            <w:tcMar>
              <w:top w:w="0" w:type="dxa"/>
              <w:bottom w:w="0" w:type="dxa"/>
            </w:tcMar>
            <w:vAlign w:val="center"/>
          </w:tcPr>
          <w:p w14:paraId="5B661F5A" w14:textId="77777777" w:rsidR="003E20DF" w:rsidRDefault="00F01A5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7CDAC1D" w14:textId="77777777" w:rsidR="003E20DF" w:rsidRDefault="00F01A5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850CE5F" w14:textId="77777777" w:rsidR="003E20DF" w:rsidRDefault="00F01A5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F09D37A" w14:textId="77777777" w:rsidR="003E20DF" w:rsidRDefault="00F01A5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702B54D" w14:textId="77777777" w:rsidR="003E20DF" w:rsidRDefault="00F01A5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DF23DD7" w14:textId="77777777" w:rsidR="003E20DF" w:rsidRDefault="00F01A5C">
            <w:pPr>
              <w:keepNext/>
              <w:keepLines/>
              <w:spacing w:after="0" w:line="240" w:lineRule="auto"/>
              <w:jc w:val="center"/>
            </w:pPr>
            <w:r>
              <w:rPr>
                <w:b/>
                <w:sz w:val="18"/>
              </w:rPr>
              <w:t>Indeks (%)</w:t>
            </w:r>
          </w:p>
        </w:tc>
      </w:tr>
      <w:tr w:rsidR="003E20DF" w14:paraId="42F6E8A3" w14:textId="77777777">
        <w:trPr>
          <w:cantSplit/>
          <w:trHeight w:val="560"/>
        </w:trPr>
        <w:tc>
          <w:tcPr>
            <w:tcW w:w="700" w:type="dxa"/>
            <w:tcMar>
              <w:top w:w="0" w:type="dxa"/>
              <w:bottom w:w="0" w:type="dxa"/>
            </w:tcMar>
            <w:vAlign w:val="center"/>
          </w:tcPr>
          <w:p w14:paraId="25320B8A" w14:textId="77777777" w:rsidR="003E20DF" w:rsidRDefault="00F01A5C">
            <w:pPr>
              <w:keepNext/>
              <w:keepLines/>
              <w:spacing w:after="0" w:line="240" w:lineRule="auto"/>
            </w:pPr>
            <w:r>
              <w:rPr>
                <w:sz w:val="18"/>
              </w:rPr>
              <w:t>4126</w:t>
            </w:r>
          </w:p>
        </w:tc>
        <w:tc>
          <w:tcPr>
            <w:tcW w:w="3180" w:type="dxa"/>
            <w:tcMar>
              <w:top w:w="0" w:type="dxa"/>
              <w:bottom w:w="0" w:type="dxa"/>
            </w:tcMar>
            <w:vAlign w:val="center"/>
          </w:tcPr>
          <w:p w14:paraId="0BF18148" w14:textId="77777777" w:rsidR="003E20DF" w:rsidRDefault="00F01A5C">
            <w:pPr>
              <w:keepNext/>
              <w:keepLines/>
              <w:spacing w:after="0" w:line="240" w:lineRule="auto"/>
            </w:pPr>
            <w:r>
              <w:rPr>
                <w:sz w:val="18"/>
              </w:rPr>
              <w:t>Ostala nematerijalna imovina</w:t>
            </w:r>
          </w:p>
        </w:tc>
        <w:tc>
          <w:tcPr>
            <w:tcW w:w="700" w:type="dxa"/>
            <w:tcMar>
              <w:top w:w="0" w:type="dxa"/>
              <w:bottom w:w="0" w:type="dxa"/>
            </w:tcMar>
            <w:vAlign w:val="center"/>
          </w:tcPr>
          <w:p w14:paraId="4AF959F5" w14:textId="77777777" w:rsidR="003E20DF" w:rsidRDefault="00F01A5C">
            <w:pPr>
              <w:keepNext/>
              <w:keepLines/>
              <w:spacing w:after="0" w:line="240" w:lineRule="auto"/>
            </w:pPr>
            <w:r>
              <w:rPr>
                <w:sz w:val="18"/>
              </w:rPr>
              <w:t>4126</w:t>
            </w:r>
          </w:p>
        </w:tc>
        <w:tc>
          <w:tcPr>
            <w:tcW w:w="1860" w:type="dxa"/>
            <w:tcMar>
              <w:top w:w="0" w:type="dxa"/>
              <w:bottom w:w="0" w:type="dxa"/>
            </w:tcMar>
            <w:vAlign w:val="center"/>
          </w:tcPr>
          <w:p w14:paraId="5AFCEBB0" w14:textId="77777777" w:rsidR="003E20DF" w:rsidRDefault="00F01A5C">
            <w:pPr>
              <w:keepNext/>
              <w:keepLines/>
              <w:spacing w:after="0" w:line="240" w:lineRule="auto"/>
              <w:jc w:val="right"/>
            </w:pPr>
            <w:r>
              <w:rPr>
                <w:sz w:val="18"/>
              </w:rPr>
              <w:t>691.179,81</w:t>
            </w:r>
          </w:p>
        </w:tc>
        <w:tc>
          <w:tcPr>
            <w:tcW w:w="1860" w:type="dxa"/>
            <w:tcMar>
              <w:top w:w="0" w:type="dxa"/>
              <w:bottom w:w="0" w:type="dxa"/>
            </w:tcMar>
            <w:vAlign w:val="center"/>
          </w:tcPr>
          <w:p w14:paraId="33EA970E" w14:textId="77777777" w:rsidR="003E20DF" w:rsidRDefault="00F01A5C">
            <w:pPr>
              <w:keepNext/>
              <w:keepLines/>
              <w:spacing w:after="0" w:line="240" w:lineRule="auto"/>
              <w:jc w:val="right"/>
            </w:pPr>
            <w:r>
              <w:rPr>
                <w:sz w:val="18"/>
              </w:rPr>
              <w:t>1.195.381,53</w:t>
            </w:r>
          </w:p>
        </w:tc>
        <w:tc>
          <w:tcPr>
            <w:tcW w:w="700" w:type="dxa"/>
            <w:tcMar>
              <w:top w:w="0" w:type="dxa"/>
              <w:bottom w:w="0" w:type="dxa"/>
            </w:tcMar>
            <w:vAlign w:val="center"/>
          </w:tcPr>
          <w:p w14:paraId="49B1BEF0" w14:textId="77777777" w:rsidR="003E20DF" w:rsidRDefault="00F01A5C">
            <w:pPr>
              <w:keepNext/>
              <w:keepLines/>
              <w:spacing w:after="0" w:line="240" w:lineRule="auto"/>
              <w:jc w:val="right"/>
            </w:pPr>
            <w:r>
              <w:rPr>
                <w:sz w:val="18"/>
              </w:rPr>
              <w:t>172,9</w:t>
            </w:r>
          </w:p>
        </w:tc>
      </w:tr>
    </w:tbl>
    <w:p w14:paraId="15477AD3" w14:textId="77777777" w:rsidR="003E20DF" w:rsidRDefault="003E20DF">
      <w:pPr>
        <w:spacing w:after="0"/>
      </w:pPr>
    </w:p>
    <w:p w14:paraId="723FC0AC" w14:textId="77777777" w:rsidR="003E20DF" w:rsidRDefault="00F01A5C" w:rsidP="00882057">
      <w:pPr>
        <w:ind w:firstLine="708"/>
        <w:jc w:val="both"/>
      </w:pPr>
      <w:r>
        <w:t>U okviru ove šifre ostvareni rashodi vezani su za izradu projektne dokumentacije Grada, posebice u dijelu rekonstrukcije školskih prostora i izgradnje sportskih dvorana u 14 osječkih osnovnih škola te izgradnju nove škole u Retfali, financiranih putem NPOO-a.</w:t>
      </w:r>
    </w:p>
    <w:p w14:paraId="12CF8664" w14:textId="77777777" w:rsidR="003E20DF" w:rsidRDefault="003E20DF"/>
    <w:p w14:paraId="3E636034" w14:textId="77777777" w:rsidR="003E20DF" w:rsidRDefault="00F01A5C">
      <w:pPr>
        <w:keepNext/>
        <w:spacing w:line="240" w:lineRule="auto"/>
        <w:jc w:val="center"/>
      </w:pPr>
      <w:r>
        <w:rPr>
          <w:sz w:val="28"/>
        </w:rPr>
        <w:t>Bilješka 51.</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20DF" w14:paraId="68FF0ED7" w14:textId="77777777">
        <w:trPr>
          <w:cantSplit/>
        </w:trPr>
        <w:tc>
          <w:tcPr>
            <w:tcW w:w="700" w:type="dxa"/>
            <w:shd w:val="clear" w:color="auto" w:fill="E7F0F9"/>
            <w:tcMar>
              <w:top w:w="0" w:type="dxa"/>
              <w:bottom w:w="0" w:type="dxa"/>
            </w:tcMar>
            <w:vAlign w:val="center"/>
          </w:tcPr>
          <w:p w14:paraId="056E7560" w14:textId="77777777" w:rsidR="003E20DF" w:rsidRDefault="00F01A5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999861D" w14:textId="77777777" w:rsidR="003E20DF" w:rsidRDefault="00F01A5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1BB071E" w14:textId="77777777" w:rsidR="003E20DF" w:rsidRDefault="00F01A5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F0CB1AF" w14:textId="77777777" w:rsidR="003E20DF" w:rsidRDefault="00F01A5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50971B9" w14:textId="77777777" w:rsidR="003E20DF" w:rsidRDefault="00F01A5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65C964E" w14:textId="77777777" w:rsidR="003E20DF" w:rsidRDefault="00F01A5C">
            <w:pPr>
              <w:keepNext/>
              <w:keepLines/>
              <w:spacing w:after="0" w:line="240" w:lineRule="auto"/>
              <w:jc w:val="center"/>
            </w:pPr>
            <w:r>
              <w:rPr>
                <w:b/>
                <w:sz w:val="18"/>
              </w:rPr>
              <w:t>Indeks (%)</w:t>
            </w:r>
          </w:p>
        </w:tc>
      </w:tr>
      <w:tr w:rsidR="003E20DF" w14:paraId="0E54DA42" w14:textId="77777777">
        <w:trPr>
          <w:cantSplit/>
          <w:trHeight w:val="560"/>
        </w:trPr>
        <w:tc>
          <w:tcPr>
            <w:tcW w:w="700" w:type="dxa"/>
            <w:tcMar>
              <w:top w:w="0" w:type="dxa"/>
              <w:bottom w:w="0" w:type="dxa"/>
            </w:tcMar>
            <w:vAlign w:val="center"/>
          </w:tcPr>
          <w:p w14:paraId="1BE94C83" w14:textId="77777777" w:rsidR="003E20DF" w:rsidRDefault="00F01A5C">
            <w:pPr>
              <w:keepNext/>
              <w:keepLines/>
              <w:spacing w:after="0" w:line="240" w:lineRule="auto"/>
            </w:pPr>
            <w:r>
              <w:rPr>
                <w:sz w:val="18"/>
              </w:rPr>
              <w:t>4211</w:t>
            </w:r>
          </w:p>
        </w:tc>
        <w:tc>
          <w:tcPr>
            <w:tcW w:w="3180" w:type="dxa"/>
            <w:tcMar>
              <w:top w:w="0" w:type="dxa"/>
              <w:bottom w:w="0" w:type="dxa"/>
            </w:tcMar>
            <w:vAlign w:val="center"/>
          </w:tcPr>
          <w:p w14:paraId="60290179" w14:textId="77777777" w:rsidR="003E20DF" w:rsidRDefault="00F01A5C">
            <w:pPr>
              <w:keepNext/>
              <w:keepLines/>
              <w:spacing w:after="0" w:line="240" w:lineRule="auto"/>
            </w:pPr>
            <w:r>
              <w:rPr>
                <w:sz w:val="18"/>
              </w:rPr>
              <w:t>Stambeni objekti</w:t>
            </w:r>
          </w:p>
        </w:tc>
        <w:tc>
          <w:tcPr>
            <w:tcW w:w="700" w:type="dxa"/>
            <w:tcMar>
              <w:top w:w="0" w:type="dxa"/>
              <w:bottom w:w="0" w:type="dxa"/>
            </w:tcMar>
            <w:vAlign w:val="center"/>
          </w:tcPr>
          <w:p w14:paraId="202A6E87" w14:textId="77777777" w:rsidR="003E20DF" w:rsidRDefault="00F01A5C">
            <w:pPr>
              <w:keepNext/>
              <w:keepLines/>
              <w:spacing w:after="0" w:line="240" w:lineRule="auto"/>
            </w:pPr>
            <w:r>
              <w:rPr>
                <w:sz w:val="18"/>
              </w:rPr>
              <w:t>4211</w:t>
            </w:r>
          </w:p>
        </w:tc>
        <w:tc>
          <w:tcPr>
            <w:tcW w:w="1860" w:type="dxa"/>
            <w:tcMar>
              <w:top w:w="0" w:type="dxa"/>
              <w:bottom w:w="0" w:type="dxa"/>
            </w:tcMar>
            <w:vAlign w:val="center"/>
          </w:tcPr>
          <w:p w14:paraId="16DEF648" w14:textId="77777777" w:rsidR="003E20DF" w:rsidRDefault="00F01A5C">
            <w:pPr>
              <w:keepNext/>
              <w:keepLines/>
              <w:spacing w:after="0" w:line="240" w:lineRule="auto"/>
              <w:jc w:val="right"/>
            </w:pPr>
            <w:r>
              <w:rPr>
                <w:sz w:val="18"/>
              </w:rPr>
              <w:t>278.400,00</w:t>
            </w:r>
          </w:p>
        </w:tc>
        <w:tc>
          <w:tcPr>
            <w:tcW w:w="1860" w:type="dxa"/>
            <w:tcMar>
              <w:top w:w="0" w:type="dxa"/>
              <w:bottom w:w="0" w:type="dxa"/>
            </w:tcMar>
            <w:vAlign w:val="center"/>
          </w:tcPr>
          <w:p w14:paraId="029AD558" w14:textId="77777777" w:rsidR="003E20DF" w:rsidRDefault="00F01A5C">
            <w:pPr>
              <w:keepNext/>
              <w:keepLines/>
              <w:spacing w:after="0" w:line="240" w:lineRule="auto"/>
              <w:jc w:val="right"/>
            </w:pPr>
            <w:r>
              <w:rPr>
                <w:sz w:val="18"/>
              </w:rPr>
              <w:t>64.100,00</w:t>
            </w:r>
          </w:p>
        </w:tc>
        <w:tc>
          <w:tcPr>
            <w:tcW w:w="700" w:type="dxa"/>
            <w:tcMar>
              <w:top w:w="0" w:type="dxa"/>
              <w:bottom w:w="0" w:type="dxa"/>
            </w:tcMar>
            <w:vAlign w:val="center"/>
          </w:tcPr>
          <w:p w14:paraId="08F73264" w14:textId="77777777" w:rsidR="003E20DF" w:rsidRDefault="00F01A5C">
            <w:pPr>
              <w:keepNext/>
              <w:keepLines/>
              <w:spacing w:after="0" w:line="240" w:lineRule="auto"/>
              <w:jc w:val="right"/>
            </w:pPr>
            <w:r>
              <w:rPr>
                <w:sz w:val="18"/>
              </w:rPr>
              <w:t>23,0</w:t>
            </w:r>
          </w:p>
        </w:tc>
      </w:tr>
    </w:tbl>
    <w:p w14:paraId="6845DBB9" w14:textId="77777777" w:rsidR="003E20DF" w:rsidRDefault="003E20DF">
      <w:pPr>
        <w:spacing w:after="0"/>
      </w:pPr>
    </w:p>
    <w:p w14:paraId="5B0B3D48" w14:textId="77777777" w:rsidR="003E20DF" w:rsidRDefault="00F01A5C" w:rsidP="00882057">
      <w:pPr>
        <w:ind w:firstLine="708"/>
        <w:jc w:val="both"/>
      </w:pPr>
      <w:r>
        <w:t>U 2025. iskazan je trošak zamjene nekretnine s fizičkom osobom za potrebe prenamjene objekta u dječji vrtić u centru Osijeka.</w:t>
      </w:r>
    </w:p>
    <w:p w14:paraId="593AD90F" w14:textId="77777777" w:rsidR="003E20DF" w:rsidRDefault="003E20DF"/>
    <w:p w14:paraId="41A5EF7D" w14:textId="77777777" w:rsidR="003E20DF" w:rsidRDefault="00F01A5C">
      <w:pPr>
        <w:keepNext/>
        <w:spacing w:line="240" w:lineRule="auto"/>
        <w:jc w:val="center"/>
      </w:pPr>
      <w:r>
        <w:rPr>
          <w:sz w:val="28"/>
        </w:rPr>
        <w:lastRenderedPageBreak/>
        <w:t>Bilješka 52.</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20DF" w14:paraId="0925A785" w14:textId="77777777">
        <w:trPr>
          <w:cantSplit/>
        </w:trPr>
        <w:tc>
          <w:tcPr>
            <w:tcW w:w="700" w:type="dxa"/>
            <w:shd w:val="clear" w:color="auto" w:fill="E7F0F9"/>
            <w:tcMar>
              <w:top w:w="0" w:type="dxa"/>
              <w:bottom w:w="0" w:type="dxa"/>
            </w:tcMar>
            <w:vAlign w:val="center"/>
          </w:tcPr>
          <w:p w14:paraId="15E15C7D" w14:textId="77777777" w:rsidR="003E20DF" w:rsidRDefault="00F01A5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1A5E53B" w14:textId="77777777" w:rsidR="003E20DF" w:rsidRDefault="00F01A5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457B64A" w14:textId="77777777" w:rsidR="003E20DF" w:rsidRDefault="00F01A5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3F91504" w14:textId="77777777" w:rsidR="003E20DF" w:rsidRDefault="00F01A5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5A8217B" w14:textId="77777777" w:rsidR="003E20DF" w:rsidRDefault="00F01A5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E193C28" w14:textId="77777777" w:rsidR="003E20DF" w:rsidRDefault="00F01A5C">
            <w:pPr>
              <w:keepNext/>
              <w:keepLines/>
              <w:spacing w:after="0" w:line="240" w:lineRule="auto"/>
              <w:jc w:val="center"/>
            </w:pPr>
            <w:r>
              <w:rPr>
                <w:b/>
                <w:sz w:val="18"/>
              </w:rPr>
              <w:t>Indeks (%)</w:t>
            </w:r>
          </w:p>
        </w:tc>
      </w:tr>
      <w:tr w:rsidR="003E20DF" w14:paraId="6ED258F7" w14:textId="77777777">
        <w:trPr>
          <w:cantSplit/>
          <w:trHeight w:val="560"/>
        </w:trPr>
        <w:tc>
          <w:tcPr>
            <w:tcW w:w="700" w:type="dxa"/>
            <w:tcMar>
              <w:top w:w="0" w:type="dxa"/>
              <w:bottom w:w="0" w:type="dxa"/>
            </w:tcMar>
            <w:vAlign w:val="center"/>
          </w:tcPr>
          <w:p w14:paraId="04985CC1" w14:textId="77777777" w:rsidR="003E20DF" w:rsidRDefault="00F01A5C">
            <w:pPr>
              <w:keepNext/>
              <w:keepLines/>
              <w:spacing w:after="0" w:line="240" w:lineRule="auto"/>
            </w:pPr>
            <w:r>
              <w:rPr>
                <w:sz w:val="18"/>
              </w:rPr>
              <w:t>4212</w:t>
            </w:r>
          </w:p>
        </w:tc>
        <w:tc>
          <w:tcPr>
            <w:tcW w:w="3180" w:type="dxa"/>
            <w:tcMar>
              <w:top w:w="0" w:type="dxa"/>
              <w:bottom w:w="0" w:type="dxa"/>
            </w:tcMar>
            <w:vAlign w:val="center"/>
          </w:tcPr>
          <w:p w14:paraId="642B1DDF" w14:textId="77777777" w:rsidR="003E20DF" w:rsidRDefault="00F01A5C">
            <w:pPr>
              <w:keepNext/>
              <w:keepLines/>
              <w:spacing w:after="0" w:line="240" w:lineRule="auto"/>
            </w:pPr>
            <w:r>
              <w:rPr>
                <w:sz w:val="18"/>
              </w:rPr>
              <w:t>Poslovni objekti</w:t>
            </w:r>
          </w:p>
        </w:tc>
        <w:tc>
          <w:tcPr>
            <w:tcW w:w="700" w:type="dxa"/>
            <w:tcMar>
              <w:top w:w="0" w:type="dxa"/>
              <w:bottom w:w="0" w:type="dxa"/>
            </w:tcMar>
            <w:vAlign w:val="center"/>
          </w:tcPr>
          <w:p w14:paraId="6525D1F8" w14:textId="77777777" w:rsidR="003E20DF" w:rsidRDefault="00F01A5C">
            <w:pPr>
              <w:keepNext/>
              <w:keepLines/>
              <w:spacing w:after="0" w:line="240" w:lineRule="auto"/>
            </w:pPr>
            <w:r>
              <w:rPr>
                <w:sz w:val="18"/>
              </w:rPr>
              <w:t>4212</w:t>
            </w:r>
          </w:p>
        </w:tc>
        <w:tc>
          <w:tcPr>
            <w:tcW w:w="1860" w:type="dxa"/>
            <w:tcMar>
              <w:top w:w="0" w:type="dxa"/>
              <w:bottom w:w="0" w:type="dxa"/>
            </w:tcMar>
            <w:vAlign w:val="center"/>
          </w:tcPr>
          <w:p w14:paraId="76F50EC0" w14:textId="77777777" w:rsidR="003E20DF" w:rsidRDefault="00F01A5C">
            <w:pPr>
              <w:keepNext/>
              <w:keepLines/>
              <w:spacing w:after="0" w:line="240" w:lineRule="auto"/>
              <w:jc w:val="right"/>
            </w:pPr>
            <w:r>
              <w:rPr>
                <w:sz w:val="18"/>
              </w:rPr>
              <w:t>5.925.214,97</w:t>
            </w:r>
          </w:p>
        </w:tc>
        <w:tc>
          <w:tcPr>
            <w:tcW w:w="1860" w:type="dxa"/>
            <w:tcMar>
              <w:top w:w="0" w:type="dxa"/>
              <w:bottom w:w="0" w:type="dxa"/>
            </w:tcMar>
            <w:vAlign w:val="center"/>
          </w:tcPr>
          <w:p w14:paraId="3243DF07" w14:textId="77777777" w:rsidR="003E20DF" w:rsidRDefault="00F01A5C">
            <w:pPr>
              <w:keepNext/>
              <w:keepLines/>
              <w:spacing w:after="0" w:line="240" w:lineRule="auto"/>
              <w:jc w:val="right"/>
            </w:pPr>
            <w:r>
              <w:rPr>
                <w:sz w:val="18"/>
              </w:rPr>
              <w:t>3.470.512,49</w:t>
            </w:r>
          </w:p>
        </w:tc>
        <w:tc>
          <w:tcPr>
            <w:tcW w:w="700" w:type="dxa"/>
            <w:tcMar>
              <w:top w:w="0" w:type="dxa"/>
              <w:bottom w:w="0" w:type="dxa"/>
            </w:tcMar>
            <w:vAlign w:val="center"/>
          </w:tcPr>
          <w:p w14:paraId="70CFCC02" w14:textId="77777777" w:rsidR="003E20DF" w:rsidRDefault="00F01A5C">
            <w:pPr>
              <w:keepNext/>
              <w:keepLines/>
              <w:spacing w:after="0" w:line="240" w:lineRule="auto"/>
              <w:jc w:val="right"/>
            </w:pPr>
            <w:r>
              <w:rPr>
                <w:sz w:val="18"/>
              </w:rPr>
              <w:t>58,6</w:t>
            </w:r>
          </w:p>
        </w:tc>
      </w:tr>
    </w:tbl>
    <w:p w14:paraId="16ABFFD5" w14:textId="77777777" w:rsidR="003E20DF" w:rsidRDefault="003E20DF">
      <w:pPr>
        <w:spacing w:after="0"/>
      </w:pPr>
    </w:p>
    <w:p w14:paraId="5F824AD8" w14:textId="77777777" w:rsidR="003E20DF" w:rsidRDefault="00F01A5C" w:rsidP="00882057">
      <w:pPr>
        <w:ind w:firstLine="708"/>
        <w:jc w:val="both"/>
      </w:pPr>
      <w:r>
        <w:t>Smanjenje u okviru ove šifre u odnosu na isto izvještajno razdoblje prethodne godine odnosi se najvećim dijelom na izvršene radove u 2024. godini vezane za izgradnju Dječjih vrtića te kupnju udjela u nekretnini odmarališta u Omišlju od šest općina-pravnih sljednika Općine Osijek. U izvještajnom razdoblju 2025.godine financirani su rashodi kupovine poslovnog objekta tvrtke Unikom d.o.o. Osijek u iznosu 3.410.000,00 eura, s namjenom stvaranja nove urbane cjeline i sadržaja u najužem centru Osijeka.</w:t>
      </w:r>
    </w:p>
    <w:p w14:paraId="247E30B7" w14:textId="77777777" w:rsidR="003E20DF" w:rsidRDefault="003E20DF"/>
    <w:p w14:paraId="181F93B5" w14:textId="77777777" w:rsidR="003E20DF" w:rsidRDefault="00F01A5C">
      <w:pPr>
        <w:keepNext/>
        <w:spacing w:line="240" w:lineRule="auto"/>
        <w:jc w:val="center"/>
      </w:pPr>
      <w:r>
        <w:rPr>
          <w:sz w:val="28"/>
        </w:rPr>
        <w:t>Bilješka 53.</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20DF" w14:paraId="72835DA8" w14:textId="77777777">
        <w:trPr>
          <w:cantSplit/>
        </w:trPr>
        <w:tc>
          <w:tcPr>
            <w:tcW w:w="700" w:type="dxa"/>
            <w:shd w:val="clear" w:color="auto" w:fill="E7F0F9"/>
            <w:tcMar>
              <w:top w:w="0" w:type="dxa"/>
              <w:bottom w:w="0" w:type="dxa"/>
            </w:tcMar>
            <w:vAlign w:val="center"/>
          </w:tcPr>
          <w:p w14:paraId="0E723536" w14:textId="77777777" w:rsidR="003E20DF" w:rsidRDefault="00F01A5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E7023C5" w14:textId="77777777" w:rsidR="003E20DF" w:rsidRDefault="00F01A5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F191D86" w14:textId="77777777" w:rsidR="003E20DF" w:rsidRDefault="00F01A5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18E792B" w14:textId="77777777" w:rsidR="003E20DF" w:rsidRDefault="00F01A5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1CB3825" w14:textId="77777777" w:rsidR="003E20DF" w:rsidRDefault="00F01A5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C35AEE5" w14:textId="77777777" w:rsidR="003E20DF" w:rsidRDefault="00F01A5C">
            <w:pPr>
              <w:keepNext/>
              <w:keepLines/>
              <w:spacing w:after="0" w:line="240" w:lineRule="auto"/>
              <w:jc w:val="center"/>
            </w:pPr>
            <w:r>
              <w:rPr>
                <w:b/>
                <w:sz w:val="18"/>
              </w:rPr>
              <w:t>Indeks (%)</w:t>
            </w:r>
          </w:p>
        </w:tc>
      </w:tr>
      <w:tr w:rsidR="003E20DF" w14:paraId="1A93E252" w14:textId="77777777">
        <w:trPr>
          <w:cantSplit/>
          <w:trHeight w:val="560"/>
        </w:trPr>
        <w:tc>
          <w:tcPr>
            <w:tcW w:w="700" w:type="dxa"/>
            <w:tcMar>
              <w:top w:w="0" w:type="dxa"/>
              <w:bottom w:w="0" w:type="dxa"/>
            </w:tcMar>
            <w:vAlign w:val="center"/>
          </w:tcPr>
          <w:p w14:paraId="34ACE766" w14:textId="77777777" w:rsidR="003E20DF" w:rsidRDefault="00F01A5C">
            <w:pPr>
              <w:keepNext/>
              <w:keepLines/>
              <w:spacing w:after="0" w:line="240" w:lineRule="auto"/>
            </w:pPr>
            <w:r>
              <w:rPr>
                <w:sz w:val="18"/>
              </w:rPr>
              <w:t>4213</w:t>
            </w:r>
          </w:p>
        </w:tc>
        <w:tc>
          <w:tcPr>
            <w:tcW w:w="3180" w:type="dxa"/>
            <w:tcMar>
              <w:top w:w="0" w:type="dxa"/>
              <w:bottom w:w="0" w:type="dxa"/>
            </w:tcMar>
            <w:vAlign w:val="center"/>
          </w:tcPr>
          <w:p w14:paraId="68360726" w14:textId="77777777" w:rsidR="003E20DF" w:rsidRDefault="00F01A5C">
            <w:pPr>
              <w:keepNext/>
              <w:keepLines/>
              <w:spacing w:after="0" w:line="240" w:lineRule="auto"/>
            </w:pPr>
            <w:r>
              <w:rPr>
                <w:sz w:val="18"/>
              </w:rPr>
              <w:t>Ceste, željeznice i ostali prometni objekti</w:t>
            </w:r>
          </w:p>
        </w:tc>
        <w:tc>
          <w:tcPr>
            <w:tcW w:w="700" w:type="dxa"/>
            <w:tcMar>
              <w:top w:w="0" w:type="dxa"/>
              <w:bottom w:w="0" w:type="dxa"/>
            </w:tcMar>
            <w:vAlign w:val="center"/>
          </w:tcPr>
          <w:p w14:paraId="7BBD2780" w14:textId="77777777" w:rsidR="003E20DF" w:rsidRDefault="00F01A5C">
            <w:pPr>
              <w:keepNext/>
              <w:keepLines/>
              <w:spacing w:after="0" w:line="240" w:lineRule="auto"/>
            </w:pPr>
            <w:r>
              <w:rPr>
                <w:sz w:val="18"/>
              </w:rPr>
              <w:t>4213</w:t>
            </w:r>
          </w:p>
        </w:tc>
        <w:tc>
          <w:tcPr>
            <w:tcW w:w="1860" w:type="dxa"/>
            <w:tcMar>
              <w:top w:w="0" w:type="dxa"/>
              <w:bottom w:w="0" w:type="dxa"/>
            </w:tcMar>
            <w:vAlign w:val="center"/>
          </w:tcPr>
          <w:p w14:paraId="22A14C84" w14:textId="77777777" w:rsidR="003E20DF" w:rsidRDefault="00F01A5C">
            <w:pPr>
              <w:keepNext/>
              <w:keepLines/>
              <w:spacing w:after="0" w:line="240" w:lineRule="auto"/>
              <w:jc w:val="right"/>
            </w:pPr>
            <w:r>
              <w:rPr>
                <w:sz w:val="18"/>
              </w:rPr>
              <w:t>1.749.471,36</w:t>
            </w:r>
          </w:p>
        </w:tc>
        <w:tc>
          <w:tcPr>
            <w:tcW w:w="1860" w:type="dxa"/>
            <w:tcMar>
              <w:top w:w="0" w:type="dxa"/>
              <w:bottom w:w="0" w:type="dxa"/>
            </w:tcMar>
            <w:vAlign w:val="center"/>
          </w:tcPr>
          <w:p w14:paraId="210136E7" w14:textId="77777777" w:rsidR="003E20DF" w:rsidRDefault="00F01A5C">
            <w:pPr>
              <w:keepNext/>
              <w:keepLines/>
              <w:spacing w:after="0" w:line="240" w:lineRule="auto"/>
              <w:jc w:val="right"/>
            </w:pPr>
            <w:r>
              <w:rPr>
                <w:sz w:val="18"/>
              </w:rPr>
              <w:t>4.888.364,31</w:t>
            </w:r>
          </w:p>
        </w:tc>
        <w:tc>
          <w:tcPr>
            <w:tcW w:w="700" w:type="dxa"/>
            <w:tcMar>
              <w:top w:w="0" w:type="dxa"/>
              <w:bottom w:w="0" w:type="dxa"/>
            </w:tcMar>
            <w:vAlign w:val="center"/>
          </w:tcPr>
          <w:p w14:paraId="46A3F251" w14:textId="77777777" w:rsidR="003E20DF" w:rsidRDefault="00F01A5C">
            <w:pPr>
              <w:keepNext/>
              <w:keepLines/>
              <w:spacing w:after="0" w:line="240" w:lineRule="auto"/>
              <w:jc w:val="right"/>
            </w:pPr>
            <w:r>
              <w:rPr>
                <w:sz w:val="18"/>
              </w:rPr>
              <w:t>279,4</w:t>
            </w:r>
          </w:p>
        </w:tc>
      </w:tr>
    </w:tbl>
    <w:p w14:paraId="365E35E9" w14:textId="77777777" w:rsidR="003E20DF" w:rsidRDefault="003E20DF">
      <w:pPr>
        <w:spacing w:after="0"/>
      </w:pPr>
    </w:p>
    <w:p w14:paraId="5747087B" w14:textId="69EE025D" w:rsidR="003E20DF" w:rsidRDefault="00F01A5C" w:rsidP="00882057">
      <w:pPr>
        <w:ind w:firstLine="708"/>
        <w:jc w:val="both"/>
      </w:pPr>
      <w:r>
        <w:t>Povećanje rashoda koji su iskazani u okviru ove šifre najvećim dijelom vezani su za provedbu projekta izgradnje četiri dionice biciklističkih staza na području Grada Osijeka, sufinanciranih EU sredstvima putem ITU mehanizma</w:t>
      </w:r>
      <w:r w:rsidR="00643908">
        <w:t>.</w:t>
      </w:r>
    </w:p>
    <w:p w14:paraId="5B1D328B" w14:textId="77777777" w:rsidR="003E20DF" w:rsidRDefault="003E20DF"/>
    <w:p w14:paraId="0A28F2DD" w14:textId="77777777" w:rsidR="003E20DF" w:rsidRDefault="00F01A5C">
      <w:pPr>
        <w:keepNext/>
        <w:spacing w:line="240" w:lineRule="auto"/>
        <w:jc w:val="center"/>
      </w:pPr>
      <w:r>
        <w:rPr>
          <w:sz w:val="28"/>
        </w:rPr>
        <w:t>Bilješka 54.</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20DF" w14:paraId="06B9953E" w14:textId="77777777">
        <w:trPr>
          <w:cantSplit/>
        </w:trPr>
        <w:tc>
          <w:tcPr>
            <w:tcW w:w="700" w:type="dxa"/>
            <w:shd w:val="clear" w:color="auto" w:fill="E7F0F9"/>
            <w:tcMar>
              <w:top w:w="0" w:type="dxa"/>
              <w:bottom w:w="0" w:type="dxa"/>
            </w:tcMar>
            <w:vAlign w:val="center"/>
          </w:tcPr>
          <w:p w14:paraId="5FF9BF22" w14:textId="77777777" w:rsidR="003E20DF" w:rsidRDefault="00F01A5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B2653B2" w14:textId="77777777" w:rsidR="003E20DF" w:rsidRDefault="00F01A5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8658D0F" w14:textId="77777777" w:rsidR="003E20DF" w:rsidRDefault="00F01A5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AE15788" w14:textId="77777777" w:rsidR="003E20DF" w:rsidRDefault="00F01A5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1E7E981" w14:textId="77777777" w:rsidR="003E20DF" w:rsidRDefault="00F01A5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8F5BF52" w14:textId="77777777" w:rsidR="003E20DF" w:rsidRDefault="00F01A5C">
            <w:pPr>
              <w:keepNext/>
              <w:keepLines/>
              <w:spacing w:after="0" w:line="240" w:lineRule="auto"/>
              <w:jc w:val="center"/>
            </w:pPr>
            <w:r>
              <w:rPr>
                <w:b/>
                <w:sz w:val="18"/>
              </w:rPr>
              <w:t>Indeks (%)</w:t>
            </w:r>
          </w:p>
        </w:tc>
      </w:tr>
      <w:tr w:rsidR="003E20DF" w14:paraId="644E2013" w14:textId="77777777">
        <w:trPr>
          <w:cantSplit/>
          <w:trHeight w:val="560"/>
        </w:trPr>
        <w:tc>
          <w:tcPr>
            <w:tcW w:w="700" w:type="dxa"/>
            <w:tcMar>
              <w:top w:w="0" w:type="dxa"/>
              <w:bottom w:w="0" w:type="dxa"/>
            </w:tcMar>
            <w:vAlign w:val="center"/>
          </w:tcPr>
          <w:p w14:paraId="189F2718" w14:textId="77777777" w:rsidR="003E20DF" w:rsidRDefault="00F01A5C">
            <w:pPr>
              <w:keepNext/>
              <w:keepLines/>
              <w:spacing w:after="0" w:line="240" w:lineRule="auto"/>
            </w:pPr>
            <w:r>
              <w:rPr>
                <w:sz w:val="18"/>
              </w:rPr>
              <w:t>4222</w:t>
            </w:r>
          </w:p>
        </w:tc>
        <w:tc>
          <w:tcPr>
            <w:tcW w:w="3180" w:type="dxa"/>
            <w:tcMar>
              <w:top w:w="0" w:type="dxa"/>
              <w:bottom w:w="0" w:type="dxa"/>
            </w:tcMar>
            <w:vAlign w:val="center"/>
          </w:tcPr>
          <w:p w14:paraId="2CAB86B5" w14:textId="77777777" w:rsidR="003E20DF" w:rsidRDefault="00F01A5C">
            <w:pPr>
              <w:keepNext/>
              <w:keepLines/>
              <w:spacing w:after="0" w:line="240" w:lineRule="auto"/>
            </w:pPr>
            <w:r>
              <w:rPr>
                <w:sz w:val="18"/>
              </w:rPr>
              <w:t>Komunikacijska oprema</w:t>
            </w:r>
          </w:p>
        </w:tc>
        <w:tc>
          <w:tcPr>
            <w:tcW w:w="700" w:type="dxa"/>
            <w:tcMar>
              <w:top w:w="0" w:type="dxa"/>
              <w:bottom w:w="0" w:type="dxa"/>
            </w:tcMar>
            <w:vAlign w:val="center"/>
          </w:tcPr>
          <w:p w14:paraId="4B5B9011" w14:textId="77777777" w:rsidR="003E20DF" w:rsidRDefault="00F01A5C">
            <w:pPr>
              <w:keepNext/>
              <w:keepLines/>
              <w:spacing w:after="0" w:line="240" w:lineRule="auto"/>
            </w:pPr>
            <w:r>
              <w:rPr>
                <w:sz w:val="18"/>
              </w:rPr>
              <w:t>4222</w:t>
            </w:r>
          </w:p>
        </w:tc>
        <w:tc>
          <w:tcPr>
            <w:tcW w:w="1860" w:type="dxa"/>
            <w:tcMar>
              <w:top w:w="0" w:type="dxa"/>
              <w:bottom w:w="0" w:type="dxa"/>
            </w:tcMar>
            <w:vAlign w:val="center"/>
          </w:tcPr>
          <w:p w14:paraId="12B2AC81" w14:textId="77777777" w:rsidR="003E20DF" w:rsidRDefault="00F01A5C">
            <w:pPr>
              <w:keepNext/>
              <w:keepLines/>
              <w:spacing w:after="0" w:line="240" w:lineRule="auto"/>
              <w:jc w:val="right"/>
            </w:pPr>
            <w:r>
              <w:rPr>
                <w:sz w:val="18"/>
              </w:rPr>
              <w:t>8.284,71</w:t>
            </w:r>
          </w:p>
        </w:tc>
        <w:tc>
          <w:tcPr>
            <w:tcW w:w="1860" w:type="dxa"/>
            <w:tcMar>
              <w:top w:w="0" w:type="dxa"/>
              <w:bottom w:w="0" w:type="dxa"/>
            </w:tcMar>
            <w:vAlign w:val="center"/>
          </w:tcPr>
          <w:p w14:paraId="6B90798C" w14:textId="77777777" w:rsidR="003E20DF" w:rsidRDefault="00F01A5C">
            <w:pPr>
              <w:keepNext/>
              <w:keepLines/>
              <w:spacing w:after="0" w:line="240" w:lineRule="auto"/>
              <w:jc w:val="right"/>
            </w:pPr>
            <w:r>
              <w:rPr>
                <w:sz w:val="18"/>
              </w:rPr>
              <w:t>34.853,68</w:t>
            </w:r>
          </w:p>
        </w:tc>
        <w:tc>
          <w:tcPr>
            <w:tcW w:w="700" w:type="dxa"/>
            <w:tcMar>
              <w:top w:w="0" w:type="dxa"/>
              <w:bottom w:w="0" w:type="dxa"/>
            </w:tcMar>
            <w:vAlign w:val="center"/>
          </w:tcPr>
          <w:p w14:paraId="2093E1E7" w14:textId="77777777" w:rsidR="003E20DF" w:rsidRDefault="00F01A5C">
            <w:pPr>
              <w:keepNext/>
              <w:keepLines/>
              <w:spacing w:after="0" w:line="240" w:lineRule="auto"/>
              <w:jc w:val="right"/>
            </w:pPr>
            <w:r>
              <w:rPr>
                <w:sz w:val="18"/>
              </w:rPr>
              <w:t>420,7</w:t>
            </w:r>
          </w:p>
        </w:tc>
      </w:tr>
    </w:tbl>
    <w:p w14:paraId="24316BD8" w14:textId="77777777" w:rsidR="003E20DF" w:rsidRDefault="003E20DF">
      <w:pPr>
        <w:spacing w:after="0"/>
      </w:pPr>
    </w:p>
    <w:p w14:paraId="17030960" w14:textId="77777777" w:rsidR="003E20DF" w:rsidRDefault="00F01A5C" w:rsidP="00882057">
      <w:pPr>
        <w:ind w:firstLine="708"/>
        <w:jc w:val="both"/>
      </w:pPr>
      <w:r>
        <w:t>Povećanje troškova za komunikacijsku opremu se vezano je za nabavu mobilnih uređaja za djelatnike i dužnosnike Grada, sukladno internim aktima. </w:t>
      </w:r>
    </w:p>
    <w:p w14:paraId="6A8B5B6C" w14:textId="77777777" w:rsidR="003E20DF" w:rsidRDefault="003E20DF"/>
    <w:p w14:paraId="50C16F45" w14:textId="77777777" w:rsidR="00643908" w:rsidRDefault="00643908">
      <w:pPr>
        <w:keepNext/>
        <w:spacing w:line="240" w:lineRule="auto"/>
        <w:jc w:val="center"/>
        <w:rPr>
          <w:sz w:val="28"/>
        </w:rPr>
      </w:pPr>
    </w:p>
    <w:p w14:paraId="7F3F3D3C" w14:textId="6ADD8EF0" w:rsidR="003E20DF" w:rsidRDefault="00F01A5C">
      <w:pPr>
        <w:keepNext/>
        <w:spacing w:line="240" w:lineRule="auto"/>
        <w:jc w:val="center"/>
      </w:pPr>
      <w:r>
        <w:rPr>
          <w:sz w:val="28"/>
        </w:rPr>
        <w:t>Bilješka 55.</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20DF" w14:paraId="563693B6" w14:textId="77777777">
        <w:trPr>
          <w:cantSplit/>
        </w:trPr>
        <w:tc>
          <w:tcPr>
            <w:tcW w:w="700" w:type="dxa"/>
            <w:shd w:val="clear" w:color="auto" w:fill="E7F0F9"/>
            <w:tcMar>
              <w:top w:w="0" w:type="dxa"/>
              <w:bottom w:w="0" w:type="dxa"/>
            </w:tcMar>
            <w:vAlign w:val="center"/>
          </w:tcPr>
          <w:p w14:paraId="381D226E" w14:textId="77777777" w:rsidR="003E20DF" w:rsidRDefault="00F01A5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0BEA4B6" w14:textId="77777777" w:rsidR="003E20DF" w:rsidRDefault="00F01A5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CC1B049" w14:textId="77777777" w:rsidR="003E20DF" w:rsidRDefault="00F01A5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D94B603" w14:textId="77777777" w:rsidR="003E20DF" w:rsidRDefault="00F01A5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D177497" w14:textId="77777777" w:rsidR="003E20DF" w:rsidRDefault="00F01A5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7E0CD74" w14:textId="77777777" w:rsidR="003E20DF" w:rsidRDefault="00F01A5C">
            <w:pPr>
              <w:keepNext/>
              <w:keepLines/>
              <w:spacing w:after="0" w:line="240" w:lineRule="auto"/>
              <w:jc w:val="center"/>
            </w:pPr>
            <w:r>
              <w:rPr>
                <w:b/>
                <w:sz w:val="18"/>
              </w:rPr>
              <w:t>Indeks (%)</w:t>
            </w:r>
          </w:p>
        </w:tc>
      </w:tr>
      <w:tr w:rsidR="003E20DF" w14:paraId="3DDCFB07" w14:textId="77777777">
        <w:trPr>
          <w:cantSplit/>
          <w:trHeight w:val="560"/>
        </w:trPr>
        <w:tc>
          <w:tcPr>
            <w:tcW w:w="700" w:type="dxa"/>
            <w:tcMar>
              <w:top w:w="0" w:type="dxa"/>
              <w:bottom w:w="0" w:type="dxa"/>
            </w:tcMar>
            <w:vAlign w:val="center"/>
          </w:tcPr>
          <w:p w14:paraId="06CD8C48" w14:textId="77777777" w:rsidR="003E20DF" w:rsidRDefault="00F01A5C">
            <w:pPr>
              <w:keepNext/>
              <w:keepLines/>
              <w:spacing w:after="0" w:line="240" w:lineRule="auto"/>
            </w:pPr>
            <w:r>
              <w:rPr>
                <w:sz w:val="18"/>
              </w:rPr>
              <w:t>4223</w:t>
            </w:r>
          </w:p>
        </w:tc>
        <w:tc>
          <w:tcPr>
            <w:tcW w:w="3180" w:type="dxa"/>
            <w:tcMar>
              <w:top w:w="0" w:type="dxa"/>
              <w:bottom w:w="0" w:type="dxa"/>
            </w:tcMar>
            <w:vAlign w:val="center"/>
          </w:tcPr>
          <w:p w14:paraId="168B4D7F" w14:textId="77777777" w:rsidR="003E20DF" w:rsidRDefault="00F01A5C">
            <w:pPr>
              <w:keepNext/>
              <w:keepLines/>
              <w:spacing w:after="0" w:line="240" w:lineRule="auto"/>
            </w:pPr>
            <w:r>
              <w:rPr>
                <w:sz w:val="18"/>
              </w:rPr>
              <w:t>Oprema za održavanje i zaštitu</w:t>
            </w:r>
          </w:p>
        </w:tc>
        <w:tc>
          <w:tcPr>
            <w:tcW w:w="700" w:type="dxa"/>
            <w:tcMar>
              <w:top w:w="0" w:type="dxa"/>
              <w:bottom w:w="0" w:type="dxa"/>
            </w:tcMar>
            <w:vAlign w:val="center"/>
          </w:tcPr>
          <w:p w14:paraId="7928C279" w14:textId="77777777" w:rsidR="003E20DF" w:rsidRDefault="00F01A5C">
            <w:pPr>
              <w:keepNext/>
              <w:keepLines/>
              <w:spacing w:after="0" w:line="240" w:lineRule="auto"/>
            </w:pPr>
            <w:r>
              <w:rPr>
                <w:sz w:val="18"/>
              </w:rPr>
              <w:t>4223</w:t>
            </w:r>
          </w:p>
        </w:tc>
        <w:tc>
          <w:tcPr>
            <w:tcW w:w="1860" w:type="dxa"/>
            <w:tcMar>
              <w:top w:w="0" w:type="dxa"/>
              <w:bottom w:w="0" w:type="dxa"/>
            </w:tcMar>
            <w:vAlign w:val="center"/>
          </w:tcPr>
          <w:p w14:paraId="2BB984C9" w14:textId="77777777" w:rsidR="003E20DF" w:rsidRDefault="00F01A5C">
            <w:pPr>
              <w:keepNext/>
              <w:keepLines/>
              <w:spacing w:after="0" w:line="240" w:lineRule="auto"/>
              <w:jc w:val="right"/>
            </w:pPr>
            <w:r>
              <w:rPr>
                <w:sz w:val="18"/>
              </w:rPr>
              <w:t>110.562,19</w:t>
            </w:r>
          </w:p>
        </w:tc>
        <w:tc>
          <w:tcPr>
            <w:tcW w:w="1860" w:type="dxa"/>
            <w:tcMar>
              <w:top w:w="0" w:type="dxa"/>
              <w:bottom w:w="0" w:type="dxa"/>
            </w:tcMar>
            <w:vAlign w:val="center"/>
          </w:tcPr>
          <w:p w14:paraId="0727CAFF" w14:textId="77777777" w:rsidR="003E20DF" w:rsidRDefault="00F01A5C">
            <w:pPr>
              <w:keepNext/>
              <w:keepLines/>
              <w:spacing w:after="0" w:line="240" w:lineRule="auto"/>
              <w:jc w:val="right"/>
            </w:pPr>
            <w:r>
              <w:rPr>
                <w:sz w:val="18"/>
              </w:rPr>
              <w:t>36.434,65</w:t>
            </w:r>
          </w:p>
        </w:tc>
        <w:tc>
          <w:tcPr>
            <w:tcW w:w="700" w:type="dxa"/>
            <w:tcMar>
              <w:top w:w="0" w:type="dxa"/>
              <w:bottom w:w="0" w:type="dxa"/>
            </w:tcMar>
            <w:vAlign w:val="center"/>
          </w:tcPr>
          <w:p w14:paraId="1CA3400D" w14:textId="77777777" w:rsidR="003E20DF" w:rsidRDefault="00F01A5C">
            <w:pPr>
              <w:keepNext/>
              <w:keepLines/>
              <w:spacing w:after="0" w:line="240" w:lineRule="auto"/>
              <w:jc w:val="right"/>
            </w:pPr>
            <w:r>
              <w:rPr>
                <w:sz w:val="18"/>
              </w:rPr>
              <w:t>33,0</w:t>
            </w:r>
          </w:p>
        </w:tc>
      </w:tr>
    </w:tbl>
    <w:p w14:paraId="6197203F" w14:textId="77777777" w:rsidR="003E20DF" w:rsidRDefault="003E20DF">
      <w:pPr>
        <w:spacing w:after="0"/>
      </w:pPr>
    </w:p>
    <w:p w14:paraId="7DBCEF85" w14:textId="77777777" w:rsidR="003E20DF" w:rsidRDefault="00F01A5C" w:rsidP="00882057">
      <w:pPr>
        <w:ind w:firstLine="708"/>
        <w:jc w:val="both"/>
      </w:pPr>
      <w:r>
        <w:t>Smanjenje u okviru ove šifre vezano je za dinamiku uvođenja sustava videonadzora u okviru gradskog sustava, klimatizaciju prostora i dr.</w:t>
      </w:r>
    </w:p>
    <w:p w14:paraId="543DAAF7" w14:textId="77777777" w:rsidR="003E20DF" w:rsidRDefault="003E20DF"/>
    <w:p w14:paraId="5CD4A410" w14:textId="77777777" w:rsidR="003E20DF" w:rsidRDefault="00F01A5C">
      <w:pPr>
        <w:keepNext/>
        <w:spacing w:line="240" w:lineRule="auto"/>
        <w:jc w:val="center"/>
      </w:pPr>
      <w:r>
        <w:rPr>
          <w:sz w:val="28"/>
        </w:rPr>
        <w:t>Bilješka 56.</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20DF" w14:paraId="57519995" w14:textId="77777777">
        <w:trPr>
          <w:cantSplit/>
        </w:trPr>
        <w:tc>
          <w:tcPr>
            <w:tcW w:w="700" w:type="dxa"/>
            <w:shd w:val="clear" w:color="auto" w:fill="E7F0F9"/>
            <w:tcMar>
              <w:top w:w="0" w:type="dxa"/>
              <w:bottom w:w="0" w:type="dxa"/>
            </w:tcMar>
            <w:vAlign w:val="center"/>
          </w:tcPr>
          <w:p w14:paraId="64A6EDF3" w14:textId="77777777" w:rsidR="003E20DF" w:rsidRDefault="00F01A5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30371F2" w14:textId="77777777" w:rsidR="003E20DF" w:rsidRDefault="00F01A5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637359E" w14:textId="77777777" w:rsidR="003E20DF" w:rsidRDefault="00F01A5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F10CD08" w14:textId="77777777" w:rsidR="003E20DF" w:rsidRDefault="00F01A5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296958D" w14:textId="77777777" w:rsidR="003E20DF" w:rsidRDefault="00F01A5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5F446EC" w14:textId="77777777" w:rsidR="003E20DF" w:rsidRDefault="00F01A5C">
            <w:pPr>
              <w:keepNext/>
              <w:keepLines/>
              <w:spacing w:after="0" w:line="240" w:lineRule="auto"/>
              <w:jc w:val="center"/>
            </w:pPr>
            <w:r>
              <w:rPr>
                <w:b/>
                <w:sz w:val="18"/>
              </w:rPr>
              <w:t>Indeks (%)</w:t>
            </w:r>
          </w:p>
        </w:tc>
      </w:tr>
      <w:tr w:rsidR="003E20DF" w14:paraId="270FE324" w14:textId="77777777">
        <w:trPr>
          <w:cantSplit/>
          <w:trHeight w:val="560"/>
        </w:trPr>
        <w:tc>
          <w:tcPr>
            <w:tcW w:w="700" w:type="dxa"/>
            <w:tcMar>
              <w:top w:w="0" w:type="dxa"/>
              <w:bottom w:w="0" w:type="dxa"/>
            </w:tcMar>
            <w:vAlign w:val="center"/>
          </w:tcPr>
          <w:p w14:paraId="707DDEC4" w14:textId="77777777" w:rsidR="003E20DF" w:rsidRDefault="00F01A5C">
            <w:pPr>
              <w:keepNext/>
              <w:keepLines/>
              <w:spacing w:after="0" w:line="240" w:lineRule="auto"/>
            </w:pPr>
            <w:r>
              <w:rPr>
                <w:sz w:val="18"/>
              </w:rPr>
              <w:t>4227</w:t>
            </w:r>
          </w:p>
        </w:tc>
        <w:tc>
          <w:tcPr>
            <w:tcW w:w="3180" w:type="dxa"/>
            <w:tcMar>
              <w:top w:w="0" w:type="dxa"/>
              <w:bottom w:w="0" w:type="dxa"/>
            </w:tcMar>
            <w:vAlign w:val="center"/>
          </w:tcPr>
          <w:p w14:paraId="27D7E5CA" w14:textId="77777777" w:rsidR="003E20DF" w:rsidRDefault="00F01A5C">
            <w:pPr>
              <w:keepNext/>
              <w:keepLines/>
              <w:spacing w:after="0" w:line="240" w:lineRule="auto"/>
            </w:pPr>
            <w:r>
              <w:rPr>
                <w:sz w:val="18"/>
              </w:rPr>
              <w:t>Uređaji, strojevi i oprema za ostale namjene</w:t>
            </w:r>
          </w:p>
        </w:tc>
        <w:tc>
          <w:tcPr>
            <w:tcW w:w="700" w:type="dxa"/>
            <w:tcMar>
              <w:top w:w="0" w:type="dxa"/>
              <w:bottom w:w="0" w:type="dxa"/>
            </w:tcMar>
            <w:vAlign w:val="center"/>
          </w:tcPr>
          <w:p w14:paraId="20972F1B" w14:textId="77777777" w:rsidR="003E20DF" w:rsidRDefault="00F01A5C">
            <w:pPr>
              <w:keepNext/>
              <w:keepLines/>
              <w:spacing w:after="0" w:line="240" w:lineRule="auto"/>
            </w:pPr>
            <w:r>
              <w:rPr>
                <w:sz w:val="18"/>
              </w:rPr>
              <w:t>4227</w:t>
            </w:r>
          </w:p>
        </w:tc>
        <w:tc>
          <w:tcPr>
            <w:tcW w:w="1860" w:type="dxa"/>
            <w:tcMar>
              <w:top w:w="0" w:type="dxa"/>
              <w:bottom w:w="0" w:type="dxa"/>
            </w:tcMar>
            <w:vAlign w:val="center"/>
          </w:tcPr>
          <w:p w14:paraId="62F6E58A" w14:textId="77777777" w:rsidR="003E20DF" w:rsidRDefault="00F01A5C">
            <w:pPr>
              <w:keepNext/>
              <w:keepLines/>
              <w:spacing w:after="0" w:line="240" w:lineRule="auto"/>
              <w:jc w:val="right"/>
            </w:pPr>
            <w:r>
              <w:rPr>
                <w:sz w:val="18"/>
              </w:rPr>
              <w:t>353.676,36</w:t>
            </w:r>
          </w:p>
        </w:tc>
        <w:tc>
          <w:tcPr>
            <w:tcW w:w="1860" w:type="dxa"/>
            <w:tcMar>
              <w:top w:w="0" w:type="dxa"/>
              <w:bottom w:w="0" w:type="dxa"/>
            </w:tcMar>
            <w:vAlign w:val="center"/>
          </w:tcPr>
          <w:p w14:paraId="34D0CAF5" w14:textId="77777777" w:rsidR="003E20DF" w:rsidRDefault="00F01A5C">
            <w:pPr>
              <w:keepNext/>
              <w:keepLines/>
              <w:spacing w:after="0" w:line="240" w:lineRule="auto"/>
              <w:jc w:val="right"/>
            </w:pPr>
            <w:r>
              <w:rPr>
                <w:sz w:val="18"/>
              </w:rPr>
              <w:t>89.260,36</w:t>
            </w:r>
          </w:p>
        </w:tc>
        <w:tc>
          <w:tcPr>
            <w:tcW w:w="700" w:type="dxa"/>
            <w:tcMar>
              <w:top w:w="0" w:type="dxa"/>
              <w:bottom w:w="0" w:type="dxa"/>
            </w:tcMar>
            <w:vAlign w:val="center"/>
          </w:tcPr>
          <w:p w14:paraId="4906DB17" w14:textId="77777777" w:rsidR="003E20DF" w:rsidRDefault="00F01A5C">
            <w:pPr>
              <w:keepNext/>
              <w:keepLines/>
              <w:spacing w:after="0" w:line="240" w:lineRule="auto"/>
              <w:jc w:val="right"/>
            </w:pPr>
            <w:r>
              <w:rPr>
                <w:sz w:val="18"/>
              </w:rPr>
              <w:t>25,2</w:t>
            </w:r>
          </w:p>
        </w:tc>
      </w:tr>
    </w:tbl>
    <w:p w14:paraId="27899121" w14:textId="77777777" w:rsidR="003E20DF" w:rsidRDefault="003E20DF">
      <w:pPr>
        <w:spacing w:after="0"/>
      </w:pPr>
    </w:p>
    <w:p w14:paraId="6391698A" w14:textId="27D67B11" w:rsidR="003E20DF" w:rsidRDefault="00F01A5C" w:rsidP="00882057">
      <w:pPr>
        <w:ind w:firstLine="708"/>
        <w:jc w:val="both"/>
      </w:pPr>
      <w:r>
        <w:t>Smanjenje u okviru ovih rashoda u odnosu na izvještajno razdoblje prethodne odnosi se na nabavljene spremnike za prikupljanje otpada u 2024.godini</w:t>
      </w:r>
      <w:r w:rsidR="00643908">
        <w:t>.</w:t>
      </w:r>
    </w:p>
    <w:p w14:paraId="5C8AC912" w14:textId="77777777" w:rsidR="003E20DF" w:rsidRDefault="003E20DF"/>
    <w:p w14:paraId="53508DA1" w14:textId="77777777" w:rsidR="003E20DF" w:rsidRDefault="00F01A5C">
      <w:pPr>
        <w:keepNext/>
        <w:spacing w:line="240" w:lineRule="auto"/>
        <w:jc w:val="center"/>
      </w:pPr>
      <w:r>
        <w:rPr>
          <w:sz w:val="28"/>
        </w:rPr>
        <w:t>Bilješka 57.</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20DF" w14:paraId="1CD94349" w14:textId="77777777">
        <w:trPr>
          <w:cantSplit/>
        </w:trPr>
        <w:tc>
          <w:tcPr>
            <w:tcW w:w="700" w:type="dxa"/>
            <w:shd w:val="clear" w:color="auto" w:fill="E7F0F9"/>
            <w:tcMar>
              <w:top w:w="0" w:type="dxa"/>
              <w:bottom w:w="0" w:type="dxa"/>
            </w:tcMar>
            <w:vAlign w:val="center"/>
          </w:tcPr>
          <w:p w14:paraId="54564E60" w14:textId="77777777" w:rsidR="003E20DF" w:rsidRDefault="00F01A5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E09A081" w14:textId="77777777" w:rsidR="003E20DF" w:rsidRDefault="00F01A5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25F305C" w14:textId="77777777" w:rsidR="003E20DF" w:rsidRDefault="00F01A5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8CEF571" w14:textId="77777777" w:rsidR="003E20DF" w:rsidRDefault="00F01A5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6AAB67B" w14:textId="77777777" w:rsidR="003E20DF" w:rsidRDefault="00F01A5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E278300" w14:textId="77777777" w:rsidR="003E20DF" w:rsidRDefault="00F01A5C">
            <w:pPr>
              <w:keepNext/>
              <w:keepLines/>
              <w:spacing w:after="0" w:line="240" w:lineRule="auto"/>
              <w:jc w:val="center"/>
            </w:pPr>
            <w:r>
              <w:rPr>
                <w:b/>
                <w:sz w:val="18"/>
              </w:rPr>
              <w:t>Indeks (%)</w:t>
            </w:r>
          </w:p>
        </w:tc>
      </w:tr>
      <w:tr w:rsidR="003E20DF" w14:paraId="7F325C62" w14:textId="77777777">
        <w:trPr>
          <w:cantSplit/>
          <w:trHeight w:val="560"/>
        </w:trPr>
        <w:tc>
          <w:tcPr>
            <w:tcW w:w="700" w:type="dxa"/>
            <w:tcMar>
              <w:top w:w="0" w:type="dxa"/>
              <w:bottom w:w="0" w:type="dxa"/>
            </w:tcMar>
            <w:vAlign w:val="center"/>
          </w:tcPr>
          <w:p w14:paraId="55F70868" w14:textId="77777777" w:rsidR="003E20DF" w:rsidRDefault="00F01A5C">
            <w:pPr>
              <w:keepNext/>
              <w:keepLines/>
              <w:spacing w:after="0" w:line="240" w:lineRule="auto"/>
            </w:pPr>
            <w:r>
              <w:rPr>
                <w:sz w:val="18"/>
              </w:rPr>
              <w:t>4231</w:t>
            </w:r>
          </w:p>
        </w:tc>
        <w:tc>
          <w:tcPr>
            <w:tcW w:w="3180" w:type="dxa"/>
            <w:tcMar>
              <w:top w:w="0" w:type="dxa"/>
              <w:bottom w:w="0" w:type="dxa"/>
            </w:tcMar>
            <w:vAlign w:val="center"/>
          </w:tcPr>
          <w:p w14:paraId="010A632A" w14:textId="77777777" w:rsidR="003E20DF" w:rsidRDefault="00F01A5C">
            <w:pPr>
              <w:keepNext/>
              <w:keepLines/>
              <w:spacing w:after="0" w:line="240" w:lineRule="auto"/>
            </w:pPr>
            <w:r>
              <w:rPr>
                <w:sz w:val="18"/>
              </w:rPr>
              <w:t>Prijevozna sredstva u cestovnom prometu</w:t>
            </w:r>
          </w:p>
        </w:tc>
        <w:tc>
          <w:tcPr>
            <w:tcW w:w="700" w:type="dxa"/>
            <w:tcMar>
              <w:top w:w="0" w:type="dxa"/>
              <w:bottom w:w="0" w:type="dxa"/>
            </w:tcMar>
            <w:vAlign w:val="center"/>
          </w:tcPr>
          <w:p w14:paraId="068AEC85" w14:textId="77777777" w:rsidR="003E20DF" w:rsidRDefault="00F01A5C">
            <w:pPr>
              <w:keepNext/>
              <w:keepLines/>
              <w:spacing w:after="0" w:line="240" w:lineRule="auto"/>
            </w:pPr>
            <w:r>
              <w:rPr>
                <w:sz w:val="18"/>
              </w:rPr>
              <w:t>4231</w:t>
            </w:r>
          </w:p>
        </w:tc>
        <w:tc>
          <w:tcPr>
            <w:tcW w:w="1860" w:type="dxa"/>
            <w:tcMar>
              <w:top w:w="0" w:type="dxa"/>
              <w:bottom w:w="0" w:type="dxa"/>
            </w:tcMar>
            <w:vAlign w:val="center"/>
          </w:tcPr>
          <w:p w14:paraId="1AA06EE1" w14:textId="77777777" w:rsidR="003E20DF" w:rsidRDefault="00F01A5C">
            <w:pPr>
              <w:keepNext/>
              <w:keepLines/>
              <w:spacing w:after="0" w:line="240" w:lineRule="auto"/>
              <w:jc w:val="right"/>
            </w:pPr>
            <w:r>
              <w:rPr>
                <w:sz w:val="18"/>
              </w:rPr>
              <w:t>106.355,98</w:t>
            </w:r>
          </w:p>
        </w:tc>
        <w:tc>
          <w:tcPr>
            <w:tcW w:w="1860" w:type="dxa"/>
            <w:tcMar>
              <w:top w:w="0" w:type="dxa"/>
              <w:bottom w:w="0" w:type="dxa"/>
            </w:tcMar>
            <w:vAlign w:val="center"/>
          </w:tcPr>
          <w:p w14:paraId="17CA746E" w14:textId="77777777" w:rsidR="003E20DF" w:rsidRDefault="00F01A5C">
            <w:pPr>
              <w:keepNext/>
              <w:keepLines/>
              <w:spacing w:after="0" w:line="240" w:lineRule="auto"/>
              <w:jc w:val="right"/>
            </w:pPr>
            <w:r>
              <w:rPr>
                <w:sz w:val="18"/>
              </w:rPr>
              <w:t>612,00</w:t>
            </w:r>
          </w:p>
        </w:tc>
        <w:tc>
          <w:tcPr>
            <w:tcW w:w="700" w:type="dxa"/>
            <w:tcMar>
              <w:top w:w="0" w:type="dxa"/>
              <w:bottom w:w="0" w:type="dxa"/>
            </w:tcMar>
            <w:vAlign w:val="center"/>
          </w:tcPr>
          <w:p w14:paraId="4CE16D7E" w14:textId="77777777" w:rsidR="003E20DF" w:rsidRDefault="00F01A5C">
            <w:pPr>
              <w:keepNext/>
              <w:keepLines/>
              <w:spacing w:after="0" w:line="240" w:lineRule="auto"/>
              <w:jc w:val="right"/>
            </w:pPr>
            <w:r>
              <w:rPr>
                <w:sz w:val="18"/>
              </w:rPr>
              <w:t>0,6</w:t>
            </w:r>
          </w:p>
        </w:tc>
      </w:tr>
    </w:tbl>
    <w:p w14:paraId="4A0F174F" w14:textId="77777777" w:rsidR="003E20DF" w:rsidRDefault="003E20DF">
      <w:pPr>
        <w:spacing w:after="0"/>
      </w:pPr>
    </w:p>
    <w:p w14:paraId="3FFE0758" w14:textId="77777777" w:rsidR="003E20DF" w:rsidRDefault="00F01A5C" w:rsidP="00882057">
      <w:pPr>
        <w:ind w:firstLine="708"/>
        <w:jc w:val="both"/>
      </w:pPr>
      <w:r>
        <w:t>Smanjenje u okviru ovih rashoda u odnosu na izvještajno razdoblje prethodne odnosi se na nabavljen osobni automobili za potrebe Gradske uprave u 2024.</w:t>
      </w:r>
    </w:p>
    <w:p w14:paraId="0F6C860D" w14:textId="77777777" w:rsidR="003E20DF" w:rsidRDefault="003E20DF"/>
    <w:p w14:paraId="515F5459" w14:textId="77777777" w:rsidR="003E20DF" w:rsidRDefault="00F01A5C">
      <w:pPr>
        <w:keepNext/>
        <w:spacing w:line="240" w:lineRule="auto"/>
        <w:jc w:val="center"/>
      </w:pPr>
      <w:r>
        <w:rPr>
          <w:sz w:val="28"/>
        </w:rPr>
        <w:t>Bilješka 58.</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20DF" w14:paraId="4C5D2C83" w14:textId="77777777">
        <w:trPr>
          <w:cantSplit/>
        </w:trPr>
        <w:tc>
          <w:tcPr>
            <w:tcW w:w="700" w:type="dxa"/>
            <w:shd w:val="clear" w:color="auto" w:fill="E7F0F9"/>
            <w:tcMar>
              <w:top w:w="0" w:type="dxa"/>
              <w:bottom w:w="0" w:type="dxa"/>
            </w:tcMar>
            <w:vAlign w:val="center"/>
          </w:tcPr>
          <w:p w14:paraId="5133B9F1" w14:textId="77777777" w:rsidR="003E20DF" w:rsidRDefault="00F01A5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87123B3" w14:textId="77777777" w:rsidR="003E20DF" w:rsidRDefault="00F01A5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7735901" w14:textId="77777777" w:rsidR="003E20DF" w:rsidRDefault="00F01A5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F2A4012" w14:textId="77777777" w:rsidR="003E20DF" w:rsidRDefault="00F01A5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2E8E208" w14:textId="77777777" w:rsidR="003E20DF" w:rsidRDefault="00F01A5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B343188" w14:textId="77777777" w:rsidR="003E20DF" w:rsidRDefault="00F01A5C">
            <w:pPr>
              <w:keepNext/>
              <w:keepLines/>
              <w:spacing w:after="0" w:line="240" w:lineRule="auto"/>
              <w:jc w:val="center"/>
            </w:pPr>
            <w:r>
              <w:rPr>
                <w:b/>
                <w:sz w:val="18"/>
              </w:rPr>
              <w:t>Indeks (%)</w:t>
            </w:r>
          </w:p>
        </w:tc>
      </w:tr>
      <w:tr w:rsidR="003E20DF" w14:paraId="6E5505F9" w14:textId="77777777">
        <w:trPr>
          <w:cantSplit/>
          <w:trHeight w:val="560"/>
        </w:trPr>
        <w:tc>
          <w:tcPr>
            <w:tcW w:w="700" w:type="dxa"/>
            <w:tcMar>
              <w:top w:w="0" w:type="dxa"/>
              <w:bottom w:w="0" w:type="dxa"/>
            </w:tcMar>
            <w:vAlign w:val="center"/>
          </w:tcPr>
          <w:p w14:paraId="2D816C0B" w14:textId="77777777" w:rsidR="003E20DF" w:rsidRDefault="00F01A5C">
            <w:pPr>
              <w:keepNext/>
              <w:keepLines/>
              <w:spacing w:after="0" w:line="240" w:lineRule="auto"/>
            </w:pPr>
            <w:r>
              <w:rPr>
                <w:sz w:val="18"/>
              </w:rPr>
              <w:t>4251</w:t>
            </w:r>
          </w:p>
        </w:tc>
        <w:tc>
          <w:tcPr>
            <w:tcW w:w="3180" w:type="dxa"/>
            <w:tcMar>
              <w:top w:w="0" w:type="dxa"/>
              <w:bottom w:w="0" w:type="dxa"/>
            </w:tcMar>
            <w:vAlign w:val="center"/>
          </w:tcPr>
          <w:p w14:paraId="591A9C4A" w14:textId="77777777" w:rsidR="003E20DF" w:rsidRDefault="00F01A5C">
            <w:pPr>
              <w:keepNext/>
              <w:keepLines/>
              <w:spacing w:after="0" w:line="240" w:lineRule="auto"/>
            </w:pPr>
            <w:r>
              <w:rPr>
                <w:sz w:val="18"/>
              </w:rPr>
              <w:t>Višegodišnji nasadi</w:t>
            </w:r>
          </w:p>
        </w:tc>
        <w:tc>
          <w:tcPr>
            <w:tcW w:w="700" w:type="dxa"/>
            <w:tcMar>
              <w:top w:w="0" w:type="dxa"/>
              <w:bottom w:w="0" w:type="dxa"/>
            </w:tcMar>
            <w:vAlign w:val="center"/>
          </w:tcPr>
          <w:p w14:paraId="6CEAA8DC" w14:textId="77777777" w:rsidR="003E20DF" w:rsidRDefault="00F01A5C">
            <w:pPr>
              <w:keepNext/>
              <w:keepLines/>
              <w:spacing w:after="0" w:line="240" w:lineRule="auto"/>
            </w:pPr>
            <w:r>
              <w:rPr>
                <w:sz w:val="18"/>
              </w:rPr>
              <w:t>4251</w:t>
            </w:r>
          </w:p>
        </w:tc>
        <w:tc>
          <w:tcPr>
            <w:tcW w:w="1860" w:type="dxa"/>
            <w:tcMar>
              <w:top w:w="0" w:type="dxa"/>
              <w:bottom w:w="0" w:type="dxa"/>
            </w:tcMar>
            <w:vAlign w:val="center"/>
          </w:tcPr>
          <w:p w14:paraId="015CE1EF" w14:textId="77777777" w:rsidR="003E20DF" w:rsidRDefault="00F01A5C">
            <w:pPr>
              <w:keepNext/>
              <w:keepLines/>
              <w:spacing w:after="0" w:line="240" w:lineRule="auto"/>
              <w:jc w:val="right"/>
            </w:pPr>
            <w:r>
              <w:rPr>
                <w:sz w:val="18"/>
              </w:rPr>
              <w:t>666.686,11</w:t>
            </w:r>
          </w:p>
        </w:tc>
        <w:tc>
          <w:tcPr>
            <w:tcW w:w="1860" w:type="dxa"/>
            <w:tcMar>
              <w:top w:w="0" w:type="dxa"/>
              <w:bottom w:w="0" w:type="dxa"/>
            </w:tcMar>
            <w:vAlign w:val="center"/>
          </w:tcPr>
          <w:p w14:paraId="6354316A" w14:textId="77777777" w:rsidR="003E20DF" w:rsidRDefault="00F01A5C">
            <w:pPr>
              <w:keepNext/>
              <w:keepLines/>
              <w:spacing w:after="0" w:line="240" w:lineRule="auto"/>
              <w:jc w:val="right"/>
            </w:pPr>
            <w:r>
              <w:rPr>
                <w:sz w:val="18"/>
              </w:rPr>
              <w:t>160.386,72</w:t>
            </w:r>
          </w:p>
        </w:tc>
        <w:tc>
          <w:tcPr>
            <w:tcW w:w="700" w:type="dxa"/>
            <w:tcMar>
              <w:top w:w="0" w:type="dxa"/>
              <w:bottom w:w="0" w:type="dxa"/>
            </w:tcMar>
            <w:vAlign w:val="center"/>
          </w:tcPr>
          <w:p w14:paraId="2FF89410" w14:textId="77777777" w:rsidR="003E20DF" w:rsidRDefault="00F01A5C">
            <w:pPr>
              <w:keepNext/>
              <w:keepLines/>
              <w:spacing w:after="0" w:line="240" w:lineRule="auto"/>
              <w:jc w:val="right"/>
            </w:pPr>
            <w:r>
              <w:rPr>
                <w:sz w:val="18"/>
              </w:rPr>
              <w:t>24,1</w:t>
            </w:r>
          </w:p>
        </w:tc>
      </w:tr>
    </w:tbl>
    <w:p w14:paraId="4ED30B55" w14:textId="77777777" w:rsidR="003E20DF" w:rsidRDefault="003E20DF">
      <w:pPr>
        <w:spacing w:after="0"/>
      </w:pPr>
    </w:p>
    <w:p w14:paraId="116688AF" w14:textId="77777777" w:rsidR="003E20DF" w:rsidRDefault="00F01A5C" w:rsidP="00882057">
      <w:pPr>
        <w:ind w:firstLine="708"/>
        <w:jc w:val="both"/>
      </w:pPr>
      <w:r>
        <w:t>Iskazano smanjenje vezano je za projekt sadnje drveća i ozelenjivanje Osijeka, a koje je sufinancirano sredstvima Fonda za energetsku učinkovitost i zaštitu okoliša u 2024.</w:t>
      </w:r>
    </w:p>
    <w:p w14:paraId="25965C05" w14:textId="77777777" w:rsidR="003E20DF" w:rsidRDefault="003E20DF" w:rsidP="00643908">
      <w:pPr>
        <w:jc w:val="both"/>
      </w:pPr>
    </w:p>
    <w:p w14:paraId="1454F95F" w14:textId="77777777" w:rsidR="003E20DF" w:rsidRDefault="00F01A5C">
      <w:pPr>
        <w:keepNext/>
        <w:spacing w:line="240" w:lineRule="auto"/>
        <w:jc w:val="center"/>
      </w:pPr>
      <w:r>
        <w:rPr>
          <w:sz w:val="28"/>
        </w:rPr>
        <w:lastRenderedPageBreak/>
        <w:t>Bilješka 59.</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20DF" w14:paraId="67A3748A" w14:textId="77777777">
        <w:trPr>
          <w:cantSplit/>
        </w:trPr>
        <w:tc>
          <w:tcPr>
            <w:tcW w:w="700" w:type="dxa"/>
            <w:shd w:val="clear" w:color="auto" w:fill="E7F0F9"/>
            <w:tcMar>
              <w:top w:w="0" w:type="dxa"/>
              <w:bottom w:w="0" w:type="dxa"/>
            </w:tcMar>
            <w:vAlign w:val="center"/>
          </w:tcPr>
          <w:p w14:paraId="1AEF64EA" w14:textId="77777777" w:rsidR="003E20DF" w:rsidRDefault="00F01A5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CFF2FB5" w14:textId="77777777" w:rsidR="003E20DF" w:rsidRDefault="00F01A5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4D636A1" w14:textId="77777777" w:rsidR="003E20DF" w:rsidRDefault="00F01A5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8FA8C56" w14:textId="77777777" w:rsidR="003E20DF" w:rsidRDefault="00F01A5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EE6B4E1" w14:textId="77777777" w:rsidR="003E20DF" w:rsidRDefault="00F01A5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3B5FC79" w14:textId="77777777" w:rsidR="003E20DF" w:rsidRDefault="00F01A5C">
            <w:pPr>
              <w:keepNext/>
              <w:keepLines/>
              <w:spacing w:after="0" w:line="240" w:lineRule="auto"/>
              <w:jc w:val="center"/>
            </w:pPr>
            <w:r>
              <w:rPr>
                <w:b/>
                <w:sz w:val="18"/>
              </w:rPr>
              <w:t>Indeks (%)</w:t>
            </w:r>
          </w:p>
        </w:tc>
      </w:tr>
      <w:tr w:rsidR="003E20DF" w14:paraId="0885ABE8" w14:textId="77777777">
        <w:trPr>
          <w:cantSplit/>
          <w:trHeight w:val="560"/>
        </w:trPr>
        <w:tc>
          <w:tcPr>
            <w:tcW w:w="700" w:type="dxa"/>
            <w:tcMar>
              <w:top w:w="0" w:type="dxa"/>
              <w:bottom w:w="0" w:type="dxa"/>
            </w:tcMar>
            <w:vAlign w:val="center"/>
          </w:tcPr>
          <w:p w14:paraId="04BAB006" w14:textId="77777777" w:rsidR="003E20DF" w:rsidRDefault="00F01A5C">
            <w:pPr>
              <w:keepNext/>
              <w:keepLines/>
              <w:spacing w:after="0" w:line="240" w:lineRule="auto"/>
            </w:pPr>
            <w:r>
              <w:rPr>
                <w:sz w:val="18"/>
              </w:rPr>
              <w:t>4262</w:t>
            </w:r>
          </w:p>
        </w:tc>
        <w:tc>
          <w:tcPr>
            <w:tcW w:w="3180" w:type="dxa"/>
            <w:tcMar>
              <w:top w:w="0" w:type="dxa"/>
              <w:bottom w:w="0" w:type="dxa"/>
            </w:tcMar>
            <w:vAlign w:val="center"/>
          </w:tcPr>
          <w:p w14:paraId="08FF7A26" w14:textId="77777777" w:rsidR="003E20DF" w:rsidRDefault="00F01A5C">
            <w:pPr>
              <w:keepNext/>
              <w:keepLines/>
              <w:spacing w:after="0" w:line="240" w:lineRule="auto"/>
            </w:pPr>
            <w:r>
              <w:rPr>
                <w:sz w:val="18"/>
              </w:rPr>
              <w:t>Ulaganja u računalne programe</w:t>
            </w:r>
          </w:p>
        </w:tc>
        <w:tc>
          <w:tcPr>
            <w:tcW w:w="700" w:type="dxa"/>
            <w:tcMar>
              <w:top w:w="0" w:type="dxa"/>
              <w:bottom w:w="0" w:type="dxa"/>
            </w:tcMar>
            <w:vAlign w:val="center"/>
          </w:tcPr>
          <w:p w14:paraId="4BFDBE79" w14:textId="77777777" w:rsidR="003E20DF" w:rsidRDefault="00F01A5C">
            <w:pPr>
              <w:keepNext/>
              <w:keepLines/>
              <w:spacing w:after="0" w:line="240" w:lineRule="auto"/>
            </w:pPr>
            <w:r>
              <w:rPr>
                <w:sz w:val="18"/>
              </w:rPr>
              <w:t>4262</w:t>
            </w:r>
          </w:p>
        </w:tc>
        <w:tc>
          <w:tcPr>
            <w:tcW w:w="1860" w:type="dxa"/>
            <w:tcMar>
              <w:top w:w="0" w:type="dxa"/>
              <w:bottom w:w="0" w:type="dxa"/>
            </w:tcMar>
            <w:vAlign w:val="center"/>
          </w:tcPr>
          <w:p w14:paraId="60810A69" w14:textId="77777777" w:rsidR="003E20DF" w:rsidRDefault="00F01A5C">
            <w:pPr>
              <w:keepNext/>
              <w:keepLines/>
              <w:spacing w:after="0" w:line="240" w:lineRule="auto"/>
              <w:jc w:val="right"/>
            </w:pPr>
            <w:r>
              <w:rPr>
                <w:sz w:val="18"/>
              </w:rPr>
              <w:t>262.693,75</w:t>
            </w:r>
          </w:p>
        </w:tc>
        <w:tc>
          <w:tcPr>
            <w:tcW w:w="1860" w:type="dxa"/>
            <w:tcMar>
              <w:top w:w="0" w:type="dxa"/>
              <w:bottom w:w="0" w:type="dxa"/>
            </w:tcMar>
            <w:vAlign w:val="center"/>
          </w:tcPr>
          <w:p w14:paraId="517951E8" w14:textId="77777777" w:rsidR="003E20DF" w:rsidRDefault="00F01A5C">
            <w:pPr>
              <w:keepNext/>
              <w:keepLines/>
              <w:spacing w:after="0" w:line="240" w:lineRule="auto"/>
              <w:jc w:val="right"/>
            </w:pPr>
            <w:r>
              <w:rPr>
                <w:sz w:val="18"/>
              </w:rPr>
              <w:t>190.612,00</w:t>
            </w:r>
          </w:p>
        </w:tc>
        <w:tc>
          <w:tcPr>
            <w:tcW w:w="700" w:type="dxa"/>
            <w:tcMar>
              <w:top w:w="0" w:type="dxa"/>
              <w:bottom w:w="0" w:type="dxa"/>
            </w:tcMar>
            <w:vAlign w:val="center"/>
          </w:tcPr>
          <w:p w14:paraId="36482379" w14:textId="77777777" w:rsidR="003E20DF" w:rsidRDefault="00F01A5C">
            <w:pPr>
              <w:keepNext/>
              <w:keepLines/>
              <w:spacing w:after="0" w:line="240" w:lineRule="auto"/>
              <w:jc w:val="right"/>
            </w:pPr>
            <w:r>
              <w:rPr>
                <w:sz w:val="18"/>
              </w:rPr>
              <w:t>72,6</w:t>
            </w:r>
          </w:p>
        </w:tc>
      </w:tr>
    </w:tbl>
    <w:p w14:paraId="0B2099AF" w14:textId="77777777" w:rsidR="003E20DF" w:rsidRDefault="003E20DF">
      <w:pPr>
        <w:spacing w:after="0"/>
      </w:pPr>
    </w:p>
    <w:p w14:paraId="7CB47D1A" w14:textId="6A3BFC36" w:rsidR="003E20DF" w:rsidRDefault="00F01A5C" w:rsidP="00882057">
      <w:pPr>
        <w:ind w:firstLine="708"/>
        <w:jc w:val="both"/>
      </w:pPr>
      <w:r>
        <w:t>U okviru ove šifre iskazani su rashodi za nabavu računalne opreme sukladno iskazanih potrebama te troškovi provedbe projekta digitalizacije gradske uprave</w:t>
      </w:r>
      <w:r w:rsidR="00643908">
        <w:t>.</w:t>
      </w:r>
    </w:p>
    <w:p w14:paraId="333046EE" w14:textId="77777777" w:rsidR="003E20DF" w:rsidRDefault="003E20DF"/>
    <w:p w14:paraId="5E1DF54C" w14:textId="77777777" w:rsidR="003E20DF" w:rsidRDefault="00F01A5C">
      <w:pPr>
        <w:keepNext/>
        <w:spacing w:line="240" w:lineRule="auto"/>
        <w:jc w:val="center"/>
      </w:pPr>
      <w:r>
        <w:rPr>
          <w:sz w:val="28"/>
        </w:rPr>
        <w:t>Bilješka 60.</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20DF" w14:paraId="061DD5A6" w14:textId="77777777">
        <w:trPr>
          <w:cantSplit/>
        </w:trPr>
        <w:tc>
          <w:tcPr>
            <w:tcW w:w="700" w:type="dxa"/>
            <w:shd w:val="clear" w:color="auto" w:fill="E7F0F9"/>
            <w:tcMar>
              <w:top w:w="0" w:type="dxa"/>
              <w:bottom w:w="0" w:type="dxa"/>
            </w:tcMar>
            <w:vAlign w:val="center"/>
          </w:tcPr>
          <w:p w14:paraId="3E584079" w14:textId="77777777" w:rsidR="003E20DF" w:rsidRDefault="00F01A5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AAE2FF5" w14:textId="77777777" w:rsidR="003E20DF" w:rsidRDefault="00F01A5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772A736" w14:textId="77777777" w:rsidR="003E20DF" w:rsidRDefault="00F01A5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485C152" w14:textId="77777777" w:rsidR="003E20DF" w:rsidRDefault="00F01A5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A56468D" w14:textId="77777777" w:rsidR="003E20DF" w:rsidRDefault="00F01A5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ADD47F2" w14:textId="77777777" w:rsidR="003E20DF" w:rsidRDefault="00F01A5C">
            <w:pPr>
              <w:keepNext/>
              <w:keepLines/>
              <w:spacing w:after="0" w:line="240" w:lineRule="auto"/>
              <w:jc w:val="center"/>
            </w:pPr>
            <w:r>
              <w:rPr>
                <w:b/>
                <w:sz w:val="18"/>
              </w:rPr>
              <w:t>Indeks (%)</w:t>
            </w:r>
          </w:p>
        </w:tc>
      </w:tr>
      <w:tr w:rsidR="003E20DF" w14:paraId="1A1A94D9" w14:textId="77777777">
        <w:trPr>
          <w:cantSplit/>
          <w:trHeight w:val="560"/>
        </w:trPr>
        <w:tc>
          <w:tcPr>
            <w:tcW w:w="700" w:type="dxa"/>
            <w:tcMar>
              <w:top w:w="0" w:type="dxa"/>
              <w:bottom w:w="0" w:type="dxa"/>
            </w:tcMar>
            <w:vAlign w:val="center"/>
          </w:tcPr>
          <w:p w14:paraId="419A06C3" w14:textId="77777777" w:rsidR="003E20DF" w:rsidRDefault="00F01A5C">
            <w:pPr>
              <w:keepNext/>
              <w:keepLines/>
              <w:spacing w:after="0" w:line="240" w:lineRule="auto"/>
            </w:pPr>
            <w:r>
              <w:rPr>
                <w:sz w:val="18"/>
              </w:rPr>
              <w:t>4263</w:t>
            </w:r>
          </w:p>
        </w:tc>
        <w:tc>
          <w:tcPr>
            <w:tcW w:w="3180" w:type="dxa"/>
            <w:tcMar>
              <w:top w:w="0" w:type="dxa"/>
              <w:bottom w:w="0" w:type="dxa"/>
            </w:tcMar>
            <w:vAlign w:val="center"/>
          </w:tcPr>
          <w:p w14:paraId="4D024F4A" w14:textId="77777777" w:rsidR="003E20DF" w:rsidRDefault="00F01A5C">
            <w:pPr>
              <w:keepNext/>
              <w:keepLines/>
              <w:spacing w:after="0" w:line="240" w:lineRule="auto"/>
            </w:pPr>
            <w:r>
              <w:rPr>
                <w:sz w:val="18"/>
              </w:rPr>
              <w:t>Umjetnička, literarna i znanstvena djela</w:t>
            </w:r>
          </w:p>
        </w:tc>
        <w:tc>
          <w:tcPr>
            <w:tcW w:w="700" w:type="dxa"/>
            <w:tcMar>
              <w:top w:w="0" w:type="dxa"/>
              <w:bottom w:w="0" w:type="dxa"/>
            </w:tcMar>
            <w:vAlign w:val="center"/>
          </w:tcPr>
          <w:p w14:paraId="6CA8ABA9" w14:textId="77777777" w:rsidR="003E20DF" w:rsidRDefault="00F01A5C">
            <w:pPr>
              <w:keepNext/>
              <w:keepLines/>
              <w:spacing w:after="0" w:line="240" w:lineRule="auto"/>
            </w:pPr>
            <w:r>
              <w:rPr>
                <w:sz w:val="18"/>
              </w:rPr>
              <w:t>4263</w:t>
            </w:r>
          </w:p>
        </w:tc>
        <w:tc>
          <w:tcPr>
            <w:tcW w:w="1860" w:type="dxa"/>
            <w:tcMar>
              <w:top w:w="0" w:type="dxa"/>
              <w:bottom w:w="0" w:type="dxa"/>
            </w:tcMar>
            <w:vAlign w:val="center"/>
          </w:tcPr>
          <w:p w14:paraId="1DCE742C" w14:textId="77777777" w:rsidR="003E20DF" w:rsidRDefault="00F01A5C">
            <w:pPr>
              <w:keepNext/>
              <w:keepLines/>
              <w:spacing w:after="0" w:line="240" w:lineRule="auto"/>
              <w:jc w:val="right"/>
            </w:pPr>
            <w:r>
              <w:rPr>
                <w:sz w:val="18"/>
              </w:rPr>
              <w:t>86.628,93</w:t>
            </w:r>
          </w:p>
        </w:tc>
        <w:tc>
          <w:tcPr>
            <w:tcW w:w="1860" w:type="dxa"/>
            <w:tcMar>
              <w:top w:w="0" w:type="dxa"/>
              <w:bottom w:w="0" w:type="dxa"/>
            </w:tcMar>
            <w:vAlign w:val="center"/>
          </w:tcPr>
          <w:p w14:paraId="144B868B" w14:textId="77777777" w:rsidR="003E20DF" w:rsidRDefault="00F01A5C">
            <w:pPr>
              <w:keepNext/>
              <w:keepLines/>
              <w:spacing w:after="0" w:line="240" w:lineRule="auto"/>
              <w:jc w:val="right"/>
            </w:pPr>
            <w:r>
              <w:rPr>
                <w:sz w:val="18"/>
              </w:rPr>
              <w:t>149.091,25</w:t>
            </w:r>
          </w:p>
        </w:tc>
        <w:tc>
          <w:tcPr>
            <w:tcW w:w="700" w:type="dxa"/>
            <w:tcMar>
              <w:top w:w="0" w:type="dxa"/>
              <w:bottom w:w="0" w:type="dxa"/>
            </w:tcMar>
            <w:vAlign w:val="center"/>
          </w:tcPr>
          <w:p w14:paraId="30752BB5" w14:textId="77777777" w:rsidR="003E20DF" w:rsidRDefault="00F01A5C">
            <w:pPr>
              <w:keepNext/>
              <w:keepLines/>
              <w:spacing w:after="0" w:line="240" w:lineRule="auto"/>
              <w:jc w:val="right"/>
            </w:pPr>
            <w:r>
              <w:rPr>
                <w:sz w:val="18"/>
              </w:rPr>
              <w:t>172,1</w:t>
            </w:r>
          </w:p>
        </w:tc>
      </w:tr>
    </w:tbl>
    <w:p w14:paraId="08CD175C" w14:textId="77777777" w:rsidR="003E20DF" w:rsidRDefault="003E20DF">
      <w:pPr>
        <w:spacing w:after="0"/>
      </w:pPr>
    </w:p>
    <w:p w14:paraId="3F05E5AF" w14:textId="1A4796EF" w:rsidR="003E20DF" w:rsidRDefault="00F01A5C" w:rsidP="00882057">
      <w:pPr>
        <w:ind w:firstLine="708"/>
        <w:jc w:val="both"/>
      </w:pPr>
      <w:r>
        <w:t>Povećanje u okviru ove šifre vezano je za izradu dokumentacije izmjena i dopuna urbanističkog plana Grada Osijeka</w:t>
      </w:r>
      <w:r w:rsidR="00643908">
        <w:t>.</w:t>
      </w:r>
    </w:p>
    <w:p w14:paraId="60494C6E" w14:textId="77777777" w:rsidR="003E20DF" w:rsidRDefault="003E20DF"/>
    <w:p w14:paraId="7705FA57" w14:textId="77777777" w:rsidR="003E20DF" w:rsidRDefault="00F01A5C">
      <w:pPr>
        <w:keepNext/>
        <w:spacing w:line="240" w:lineRule="auto"/>
        <w:jc w:val="center"/>
      </w:pPr>
      <w:r>
        <w:rPr>
          <w:sz w:val="28"/>
        </w:rPr>
        <w:t>Bilješka 61.</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20DF" w14:paraId="1B864775" w14:textId="77777777">
        <w:trPr>
          <w:cantSplit/>
        </w:trPr>
        <w:tc>
          <w:tcPr>
            <w:tcW w:w="700" w:type="dxa"/>
            <w:shd w:val="clear" w:color="auto" w:fill="E7F0F9"/>
            <w:tcMar>
              <w:top w:w="0" w:type="dxa"/>
              <w:bottom w:w="0" w:type="dxa"/>
            </w:tcMar>
            <w:vAlign w:val="center"/>
          </w:tcPr>
          <w:p w14:paraId="3B61C867" w14:textId="77777777" w:rsidR="003E20DF" w:rsidRDefault="00F01A5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151E75E" w14:textId="77777777" w:rsidR="003E20DF" w:rsidRDefault="00F01A5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E25D3B9" w14:textId="77777777" w:rsidR="003E20DF" w:rsidRDefault="00F01A5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C381A20" w14:textId="77777777" w:rsidR="003E20DF" w:rsidRDefault="00F01A5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F4F2721" w14:textId="77777777" w:rsidR="003E20DF" w:rsidRDefault="00F01A5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A9CC6DF" w14:textId="77777777" w:rsidR="003E20DF" w:rsidRDefault="00F01A5C">
            <w:pPr>
              <w:keepNext/>
              <w:keepLines/>
              <w:spacing w:after="0" w:line="240" w:lineRule="auto"/>
              <w:jc w:val="center"/>
            </w:pPr>
            <w:r>
              <w:rPr>
                <w:b/>
                <w:sz w:val="18"/>
              </w:rPr>
              <w:t>Indeks (%)</w:t>
            </w:r>
          </w:p>
        </w:tc>
      </w:tr>
      <w:tr w:rsidR="003E20DF" w14:paraId="7E7D4102" w14:textId="77777777">
        <w:trPr>
          <w:cantSplit/>
          <w:trHeight w:val="560"/>
        </w:trPr>
        <w:tc>
          <w:tcPr>
            <w:tcW w:w="700" w:type="dxa"/>
            <w:tcMar>
              <w:top w:w="0" w:type="dxa"/>
              <w:bottom w:w="0" w:type="dxa"/>
            </w:tcMar>
            <w:vAlign w:val="center"/>
          </w:tcPr>
          <w:p w14:paraId="0970234E" w14:textId="77777777" w:rsidR="003E20DF" w:rsidRDefault="00F01A5C">
            <w:pPr>
              <w:keepNext/>
              <w:keepLines/>
              <w:spacing w:after="0" w:line="240" w:lineRule="auto"/>
            </w:pPr>
            <w:r>
              <w:rPr>
                <w:sz w:val="18"/>
              </w:rPr>
              <w:t>451</w:t>
            </w:r>
          </w:p>
        </w:tc>
        <w:tc>
          <w:tcPr>
            <w:tcW w:w="3180" w:type="dxa"/>
            <w:tcMar>
              <w:top w:w="0" w:type="dxa"/>
              <w:bottom w:w="0" w:type="dxa"/>
            </w:tcMar>
            <w:vAlign w:val="center"/>
          </w:tcPr>
          <w:p w14:paraId="2E072BF9" w14:textId="77777777" w:rsidR="003E20DF" w:rsidRDefault="00F01A5C">
            <w:pPr>
              <w:keepNext/>
              <w:keepLines/>
              <w:spacing w:after="0" w:line="240" w:lineRule="auto"/>
            </w:pPr>
            <w:r>
              <w:rPr>
                <w:sz w:val="18"/>
              </w:rPr>
              <w:t>Dodatna ulaganja na građevinskim objektima</w:t>
            </w:r>
          </w:p>
        </w:tc>
        <w:tc>
          <w:tcPr>
            <w:tcW w:w="700" w:type="dxa"/>
            <w:tcMar>
              <w:top w:w="0" w:type="dxa"/>
              <w:bottom w:w="0" w:type="dxa"/>
            </w:tcMar>
            <w:vAlign w:val="center"/>
          </w:tcPr>
          <w:p w14:paraId="642EB19E" w14:textId="77777777" w:rsidR="003E20DF" w:rsidRDefault="00F01A5C">
            <w:pPr>
              <w:keepNext/>
              <w:keepLines/>
              <w:spacing w:after="0" w:line="240" w:lineRule="auto"/>
            </w:pPr>
            <w:r>
              <w:rPr>
                <w:sz w:val="18"/>
              </w:rPr>
              <w:t>451</w:t>
            </w:r>
          </w:p>
        </w:tc>
        <w:tc>
          <w:tcPr>
            <w:tcW w:w="1860" w:type="dxa"/>
            <w:tcMar>
              <w:top w:w="0" w:type="dxa"/>
              <w:bottom w:w="0" w:type="dxa"/>
            </w:tcMar>
            <w:vAlign w:val="center"/>
          </w:tcPr>
          <w:p w14:paraId="6E60E325" w14:textId="77777777" w:rsidR="003E20DF" w:rsidRDefault="00F01A5C">
            <w:pPr>
              <w:keepNext/>
              <w:keepLines/>
              <w:spacing w:after="0" w:line="240" w:lineRule="auto"/>
              <w:jc w:val="right"/>
            </w:pPr>
            <w:r>
              <w:rPr>
                <w:sz w:val="18"/>
              </w:rPr>
              <w:t>2.996.647,21</w:t>
            </w:r>
          </w:p>
        </w:tc>
        <w:tc>
          <w:tcPr>
            <w:tcW w:w="1860" w:type="dxa"/>
            <w:tcMar>
              <w:top w:w="0" w:type="dxa"/>
              <w:bottom w:w="0" w:type="dxa"/>
            </w:tcMar>
            <w:vAlign w:val="center"/>
          </w:tcPr>
          <w:p w14:paraId="15F70019" w14:textId="77777777" w:rsidR="003E20DF" w:rsidRDefault="00F01A5C">
            <w:pPr>
              <w:keepNext/>
              <w:keepLines/>
              <w:spacing w:after="0" w:line="240" w:lineRule="auto"/>
              <w:jc w:val="right"/>
            </w:pPr>
            <w:r>
              <w:rPr>
                <w:sz w:val="18"/>
              </w:rPr>
              <w:t>6.645.042,87</w:t>
            </w:r>
          </w:p>
        </w:tc>
        <w:tc>
          <w:tcPr>
            <w:tcW w:w="700" w:type="dxa"/>
            <w:tcMar>
              <w:top w:w="0" w:type="dxa"/>
              <w:bottom w:w="0" w:type="dxa"/>
            </w:tcMar>
            <w:vAlign w:val="center"/>
          </w:tcPr>
          <w:p w14:paraId="3FCB8A16" w14:textId="77777777" w:rsidR="003E20DF" w:rsidRDefault="00F01A5C">
            <w:pPr>
              <w:keepNext/>
              <w:keepLines/>
              <w:spacing w:after="0" w:line="240" w:lineRule="auto"/>
              <w:jc w:val="right"/>
            </w:pPr>
            <w:r>
              <w:rPr>
                <w:sz w:val="18"/>
              </w:rPr>
              <w:t>221,7</w:t>
            </w:r>
          </w:p>
        </w:tc>
      </w:tr>
    </w:tbl>
    <w:p w14:paraId="2633F3D2" w14:textId="77777777" w:rsidR="003E20DF" w:rsidRDefault="003E20DF">
      <w:pPr>
        <w:spacing w:after="0"/>
      </w:pPr>
    </w:p>
    <w:p w14:paraId="321D9023" w14:textId="77777777" w:rsidR="003E20DF" w:rsidRDefault="00F01A5C" w:rsidP="00882057">
      <w:pPr>
        <w:ind w:firstLine="708"/>
        <w:jc w:val="both"/>
      </w:pPr>
      <w:r>
        <w:t>Dodatna ulaganja u nefinancijsku imovinu u 2025. odnose se na provedbu druge faze rekonstrukcije gradskog kupališta Copacabana, preuređenje dječjeg odmarališta Omišalj, energetsku obnovu ETC Mačkamama, rekonstrukciju mjesnog odbora Brijest, uređenje pročelja Pučkog otvorenog učilišta, investicijsko održavanje javnih prometnih površina u gradu Osijeku i dr.</w:t>
      </w:r>
    </w:p>
    <w:p w14:paraId="332F682E" w14:textId="77777777" w:rsidR="003E20DF" w:rsidRDefault="003E20DF"/>
    <w:p w14:paraId="3CBC81E8" w14:textId="77777777" w:rsidR="003E20DF" w:rsidRDefault="00F01A5C">
      <w:pPr>
        <w:keepNext/>
        <w:spacing w:line="240" w:lineRule="auto"/>
        <w:jc w:val="center"/>
      </w:pPr>
      <w:r>
        <w:rPr>
          <w:sz w:val="28"/>
        </w:rPr>
        <w:t>Bilješka 62.</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20DF" w14:paraId="30A0D8BE" w14:textId="77777777">
        <w:trPr>
          <w:cantSplit/>
        </w:trPr>
        <w:tc>
          <w:tcPr>
            <w:tcW w:w="700" w:type="dxa"/>
            <w:shd w:val="clear" w:color="auto" w:fill="E7F0F9"/>
            <w:tcMar>
              <w:top w:w="0" w:type="dxa"/>
              <w:bottom w:w="0" w:type="dxa"/>
            </w:tcMar>
            <w:vAlign w:val="center"/>
          </w:tcPr>
          <w:p w14:paraId="26D068EA" w14:textId="77777777" w:rsidR="003E20DF" w:rsidRDefault="00F01A5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455A55D" w14:textId="77777777" w:rsidR="003E20DF" w:rsidRDefault="00F01A5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4B597C9" w14:textId="77777777" w:rsidR="003E20DF" w:rsidRDefault="00F01A5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58CB9EF" w14:textId="77777777" w:rsidR="003E20DF" w:rsidRDefault="00F01A5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2C5DD57" w14:textId="77777777" w:rsidR="003E20DF" w:rsidRDefault="00F01A5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BC93270" w14:textId="77777777" w:rsidR="003E20DF" w:rsidRDefault="00F01A5C">
            <w:pPr>
              <w:keepNext/>
              <w:keepLines/>
              <w:spacing w:after="0" w:line="240" w:lineRule="auto"/>
              <w:jc w:val="center"/>
            </w:pPr>
            <w:r>
              <w:rPr>
                <w:b/>
                <w:sz w:val="18"/>
              </w:rPr>
              <w:t>Indeks (%)</w:t>
            </w:r>
          </w:p>
        </w:tc>
      </w:tr>
      <w:tr w:rsidR="003E20DF" w14:paraId="23B9B7F3" w14:textId="77777777">
        <w:trPr>
          <w:cantSplit/>
          <w:trHeight w:val="560"/>
        </w:trPr>
        <w:tc>
          <w:tcPr>
            <w:tcW w:w="700" w:type="dxa"/>
            <w:tcMar>
              <w:top w:w="0" w:type="dxa"/>
              <w:bottom w:w="0" w:type="dxa"/>
            </w:tcMar>
            <w:vAlign w:val="center"/>
          </w:tcPr>
          <w:p w14:paraId="25A7B3A3" w14:textId="77777777" w:rsidR="003E20DF" w:rsidRDefault="00F01A5C">
            <w:pPr>
              <w:keepNext/>
              <w:keepLines/>
              <w:spacing w:after="0" w:line="240" w:lineRule="auto"/>
            </w:pPr>
            <w:r>
              <w:rPr>
                <w:sz w:val="18"/>
              </w:rPr>
              <w:t>8</w:t>
            </w:r>
          </w:p>
        </w:tc>
        <w:tc>
          <w:tcPr>
            <w:tcW w:w="3180" w:type="dxa"/>
            <w:tcMar>
              <w:top w:w="0" w:type="dxa"/>
              <w:bottom w:w="0" w:type="dxa"/>
            </w:tcMar>
            <w:vAlign w:val="center"/>
          </w:tcPr>
          <w:p w14:paraId="2DA33A0D" w14:textId="77777777" w:rsidR="003E20DF" w:rsidRDefault="00F01A5C">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69F6C349" w14:textId="77777777" w:rsidR="003E20DF" w:rsidRDefault="00F01A5C">
            <w:pPr>
              <w:keepNext/>
              <w:keepLines/>
              <w:spacing w:after="0" w:line="240" w:lineRule="auto"/>
            </w:pPr>
            <w:r>
              <w:rPr>
                <w:sz w:val="18"/>
              </w:rPr>
              <w:t>8</w:t>
            </w:r>
          </w:p>
        </w:tc>
        <w:tc>
          <w:tcPr>
            <w:tcW w:w="1860" w:type="dxa"/>
            <w:tcMar>
              <w:top w:w="0" w:type="dxa"/>
              <w:bottom w:w="0" w:type="dxa"/>
            </w:tcMar>
            <w:vAlign w:val="center"/>
          </w:tcPr>
          <w:p w14:paraId="3AAEBB0F" w14:textId="77777777" w:rsidR="003E20DF" w:rsidRDefault="00F01A5C">
            <w:pPr>
              <w:keepNext/>
              <w:keepLines/>
              <w:spacing w:after="0" w:line="240" w:lineRule="auto"/>
              <w:jc w:val="right"/>
            </w:pPr>
            <w:r>
              <w:rPr>
                <w:sz w:val="18"/>
              </w:rPr>
              <w:t>4.429.250,43</w:t>
            </w:r>
          </w:p>
        </w:tc>
        <w:tc>
          <w:tcPr>
            <w:tcW w:w="1860" w:type="dxa"/>
            <w:tcMar>
              <w:top w:w="0" w:type="dxa"/>
              <w:bottom w:w="0" w:type="dxa"/>
            </w:tcMar>
            <w:vAlign w:val="center"/>
          </w:tcPr>
          <w:p w14:paraId="5C4B0BBC" w14:textId="77777777" w:rsidR="003E20DF" w:rsidRDefault="00F01A5C">
            <w:pPr>
              <w:keepNext/>
              <w:keepLines/>
              <w:spacing w:after="0" w:line="240" w:lineRule="auto"/>
              <w:jc w:val="right"/>
            </w:pPr>
            <w:r>
              <w:rPr>
                <w:sz w:val="18"/>
              </w:rPr>
              <w:t>0,00</w:t>
            </w:r>
          </w:p>
        </w:tc>
        <w:tc>
          <w:tcPr>
            <w:tcW w:w="700" w:type="dxa"/>
            <w:tcMar>
              <w:top w:w="0" w:type="dxa"/>
              <w:bottom w:w="0" w:type="dxa"/>
            </w:tcMar>
            <w:vAlign w:val="center"/>
          </w:tcPr>
          <w:p w14:paraId="460E0A9B" w14:textId="77777777" w:rsidR="003E20DF" w:rsidRDefault="00F01A5C">
            <w:pPr>
              <w:keepNext/>
              <w:keepLines/>
              <w:spacing w:after="0" w:line="240" w:lineRule="auto"/>
              <w:jc w:val="right"/>
            </w:pPr>
            <w:r>
              <w:rPr>
                <w:sz w:val="18"/>
              </w:rPr>
              <w:t>0</w:t>
            </w:r>
          </w:p>
        </w:tc>
      </w:tr>
    </w:tbl>
    <w:p w14:paraId="26D29E60" w14:textId="77777777" w:rsidR="003E20DF" w:rsidRDefault="003E20DF">
      <w:pPr>
        <w:spacing w:after="0"/>
      </w:pPr>
    </w:p>
    <w:p w14:paraId="79128C15" w14:textId="77777777" w:rsidR="003E20DF" w:rsidRDefault="00F01A5C" w:rsidP="00643908">
      <w:pPr>
        <w:jc w:val="both"/>
      </w:pPr>
      <w:r>
        <w:t>U okviru ove šifre nema izvršenja jer u izvještajnom razdoblju nije bilo novog zaduživanja Grada Osijeka. </w:t>
      </w:r>
    </w:p>
    <w:p w14:paraId="5794FF35" w14:textId="77777777" w:rsidR="003E20DF" w:rsidRDefault="003E20DF"/>
    <w:p w14:paraId="0A0F7E95" w14:textId="77777777" w:rsidR="003E20DF" w:rsidRDefault="00F01A5C">
      <w:pPr>
        <w:keepNext/>
        <w:spacing w:line="240" w:lineRule="auto"/>
        <w:jc w:val="center"/>
      </w:pPr>
      <w:r>
        <w:rPr>
          <w:sz w:val="28"/>
        </w:rPr>
        <w:t>Bilješka 63.</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20DF" w14:paraId="3DBB81BB" w14:textId="77777777">
        <w:trPr>
          <w:cantSplit/>
        </w:trPr>
        <w:tc>
          <w:tcPr>
            <w:tcW w:w="700" w:type="dxa"/>
            <w:shd w:val="clear" w:color="auto" w:fill="E7F0F9"/>
            <w:tcMar>
              <w:top w:w="0" w:type="dxa"/>
              <w:bottom w:w="0" w:type="dxa"/>
            </w:tcMar>
            <w:vAlign w:val="center"/>
          </w:tcPr>
          <w:p w14:paraId="0F77C3F1" w14:textId="77777777" w:rsidR="003E20DF" w:rsidRDefault="00F01A5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0A4B5AB" w14:textId="77777777" w:rsidR="003E20DF" w:rsidRDefault="00F01A5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9DA0EAD" w14:textId="77777777" w:rsidR="003E20DF" w:rsidRDefault="00F01A5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D71ED79" w14:textId="77777777" w:rsidR="003E20DF" w:rsidRDefault="00F01A5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6B00C1B" w14:textId="77777777" w:rsidR="003E20DF" w:rsidRDefault="00F01A5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ACD36C8" w14:textId="77777777" w:rsidR="003E20DF" w:rsidRDefault="00F01A5C">
            <w:pPr>
              <w:keepNext/>
              <w:keepLines/>
              <w:spacing w:after="0" w:line="240" w:lineRule="auto"/>
              <w:jc w:val="center"/>
            </w:pPr>
            <w:r>
              <w:rPr>
                <w:b/>
                <w:sz w:val="18"/>
              </w:rPr>
              <w:t>Indeks (%)</w:t>
            </w:r>
          </w:p>
        </w:tc>
      </w:tr>
      <w:tr w:rsidR="003E20DF" w14:paraId="489CF536" w14:textId="77777777">
        <w:trPr>
          <w:cantSplit/>
          <w:trHeight w:val="560"/>
        </w:trPr>
        <w:tc>
          <w:tcPr>
            <w:tcW w:w="700" w:type="dxa"/>
            <w:tcMar>
              <w:top w:w="0" w:type="dxa"/>
              <w:bottom w:w="0" w:type="dxa"/>
            </w:tcMar>
            <w:vAlign w:val="center"/>
          </w:tcPr>
          <w:p w14:paraId="5D6CAC10" w14:textId="77777777" w:rsidR="003E20DF" w:rsidRDefault="00F01A5C">
            <w:pPr>
              <w:keepNext/>
              <w:keepLines/>
              <w:spacing w:after="0" w:line="240" w:lineRule="auto"/>
            </w:pPr>
            <w:r>
              <w:rPr>
                <w:sz w:val="18"/>
              </w:rPr>
              <w:t>53</w:t>
            </w:r>
          </w:p>
        </w:tc>
        <w:tc>
          <w:tcPr>
            <w:tcW w:w="3180" w:type="dxa"/>
            <w:tcMar>
              <w:top w:w="0" w:type="dxa"/>
              <w:bottom w:w="0" w:type="dxa"/>
            </w:tcMar>
            <w:vAlign w:val="center"/>
          </w:tcPr>
          <w:p w14:paraId="2D11C671" w14:textId="77777777" w:rsidR="003E20DF" w:rsidRDefault="00F01A5C">
            <w:pPr>
              <w:keepNext/>
              <w:keepLines/>
              <w:spacing w:after="0" w:line="240" w:lineRule="auto"/>
            </w:pPr>
            <w:r>
              <w:rPr>
                <w:sz w:val="18"/>
              </w:rPr>
              <w:t>Izdaci za ulaganja u financijske instrumente - dionice i udjele u glavnici (šifre 531+532+533+534)</w:t>
            </w:r>
          </w:p>
        </w:tc>
        <w:tc>
          <w:tcPr>
            <w:tcW w:w="700" w:type="dxa"/>
            <w:tcMar>
              <w:top w:w="0" w:type="dxa"/>
              <w:bottom w:w="0" w:type="dxa"/>
            </w:tcMar>
            <w:vAlign w:val="center"/>
          </w:tcPr>
          <w:p w14:paraId="1DF6B4B8" w14:textId="77777777" w:rsidR="003E20DF" w:rsidRDefault="00F01A5C">
            <w:pPr>
              <w:keepNext/>
              <w:keepLines/>
              <w:spacing w:after="0" w:line="240" w:lineRule="auto"/>
            </w:pPr>
            <w:r>
              <w:rPr>
                <w:sz w:val="18"/>
              </w:rPr>
              <w:t>53</w:t>
            </w:r>
          </w:p>
        </w:tc>
        <w:tc>
          <w:tcPr>
            <w:tcW w:w="1860" w:type="dxa"/>
            <w:tcMar>
              <w:top w:w="0" w:type="dxa"/>
              <w:bottom w:w="0" w:type="dxa"/>
            </w:tcMar>
            <w:vAlign w:val="center"/>
          </w:tcPr>
          <w:p w14:paraId="1C7FBE41" w14:textId="77777777" w:rsidR="003E20DF" w:rsidRDefault="00F01A5C">
            <w:pPr>
              <w:keepNext/>
              <w:keepLines/>
              <w:spacing w:after="0" w:line="240" w:lineRule="auto"/>
              <w:jc w:val="right"/>
            </w:pPr>
            <w:r>
              <w:rPr>
                <w:sz w:val="18"/>
              </w:rPr>
              <w:t>903.113,33</w:t>
            </w:r>
          </w:p>
        </w:tc>
        <w:tc>
          <w:tcPr>
            <w:tcW w:w="1860" w:type="dxa"/>
            <w:tcMar>
              <w:top w:w="0" w:type="dxa"/>
              <w:bottom w:w="0" w:type="dxa"/>
            </w:tcMar>
            <w:vAlign w:val="center"/>
          </w:tcPr>
          <w:p w14:paraId="6BB27B0F" w14:textId="77777777" w:rsidR="003E20DF" w:rsidRDefault="00F01A5C">
            <w:pPr>
              <w:keepNext/>
              <w:keepLines/>
              <w:spacing w:after="0" w:line="240" w:lineRule="auto"/>
              <w:jc w:val="right"/>
            </w:pPr>
            <w:r>
              <w:rPr>
                <w:sz w:val="18"/>
              </w:rPr>
              <w:t>2.000.000,00</w:t>
            </w:r>
          </w:p>
        </w:tc>
        <w:tc>
          <w:tcPr>
            <w:tcW w:w="700" w:type="dxa"/>
            <w:tcMar>
              <w:top w:w="0" w:type="dxa"/>
              <w:bottom w:w="0" w:type="dxa"/>
            </w:tcMar>
            <w:vAlign w:val="center"/>
          </w:tcPr>
          <w:p w14:paraId="3927D82C" w14:textId="77777777" w:rsidR="003E20DF" w:rsidRDefault="00F01A5C">
            <w:pPr>
              <w:keepNext/>
              <w:keepLines/>
              <w:spacing w:after="0" w:line="240" w:lineRule="auto"/>
              <w:jc w:val="right"/>
            </w:pPr>
            <w:r>
              <w:rPr>
                <w:sz w:val="18"/>
              </w:rPr>
              <w:t>221,5</w:t>
            </w:r>
          </w:p>
        </w:tc>
      </w:tr>
    </w:tbl>
    <w:p w14:paraId="487801AB" w14:textId="77777777" w:rsidR="003E20DF" w:rsidRDefault="003E20DF">
      <w:pPr>
        <w:spacing w:after="0"/>
      </w:pPr>
    </w:p>
    <w:p w14:paraId="3EE4C9EC" w14:textId="47761734" w:rsidR="003E20DF" w:rsidRDefault="00F01A5C" w:rsidP="00882057">
      <w:pPr>
        <w:ind w:firstLine="708"/>
        <w:jc w:val="both"/>
      </w:pPr>
      <w:r>
        <w:t>U okviru ove šifre značajno povećanje vezano je za dokapitalizaciju trgovačkog društva Gradski prijevoz putnika u iznosu od 2.000.000,00 eura</w:t>
      </w:r>
      <w:r w:rsidR="00643908">
        <w:t>.</w:t>
      </w:r>
    </w:p>
    <w:p w14:paraId="6A23438A" w14:textId="77777777" w:rsidR="003E20DF" w:rsidRDefault="003E20DF"/>
    <w:p w14:paraId="65E2F90B" w14:textId="77777777" w:rsidR="003E20DF" w:rsidRDefault="00F01A5C">
      <w:pPr>
        <w:keepNext/>
        <w:spacing w:line="240" w:lineRule="auto"/>
        <w:jc w:val="center"/>
      </w:pPr>
      <w:r>
        <w:rPr>
          <w:sz w:val="28"/>
        </w:rPr>
        <w:t>Bilješka 64.</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20DF" w14:paraId="20E22C70" w14:textId="77777777">
        <w:trPr>
          <w:cantSplit/>
        </w:trPr>
        <w:tc>
          <w:tcPr>
            <w:tcW w:w="700" w:type="dxa"/>
            <w:shd w:val="clear" w:color="auto" w:fill="E7F0F9"/>
            <w:tcMar>
              <w:top w:w="0" w:type="dxa"/>
              <w:bottom w:w="0" w:type="dxa"/>
            </w:tcMar>
            <w:vAlign w:val="center"/>
          </w:tcPr>
          <w:p w14:paraId="4F791B1F" w14:textId="77777777" w:rsidR="003E20DF" w:rsidRDefault="00F01A5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4126553" w14:textId="77777777" w:rsidR="003E20DF" w:rsidRDefault="00F01A5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C62508" w14:textId="77777777" w:rsidR="003E20DF" w:rsidRDefault="00F01A5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C874B65" w14:textId="77777777" w:rsidR="003E20DF" w:rsidRDefault="00F01A5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D6430F7" w14:textId="77777777" w:rsidR="003E20DF" w:rsidRDefault="00F01A5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7B75FC8" w14:textId="77777777" w:rsidR="003E20DF" w:rsidRDefault="00F01A5C">
            <w:pPr>
              <w:keepNext/>
              <w:keepLines/>
              <w:spacing w:after="0" w:line="240" w:lineRule="auto"/>
              <w:jc w:val="center"/>
            </w:pPr>
            <w:r>
              <w:rPr>
                <w:b/>
                <w:sz w:val="18"/>
              </w:rPr>
              <w:t>Indeks (%)</w:t>
            </w:r>
          </w:p>
        </w:tc>
      </w:tr>
      <w:tr w:rsidR="003E20DF" w14:paraId="4DD537F6" w14:textId="77777777">
        <w:trPr>
          <w:cantSplit/>
          <w:trHeight w:val="560"/>
        </w:trPr>
        <w:tc>
          <w:tcPr>
            <w:tcW w:w="700" w:type="dxa"/>
            <w:tcMar>
              <w:top w:w="0" w:type="dxa"/>
              <w:bottom w:w="0" w:type="dxa"/>
            </w:tcMar>
            <w:vAlign w:val="center"/>
          </w:tcPr>
          <w:p w14:paraId="1FCF81AE" w14:textId="77777777" w:rsidR="003E20DF" w:rsidRDefault="00F01A5C">
            <w:pPr>
              <w:keepNext/>
              <w:keepLines/>
              <w:spacing w:after="0" w:line="240" w:lineRule="auto"/>
            </w:pPr>
            <w:r>
              <w:rPr>
                <w:sz w:val="18"/>
              </w:rPr>
              <w:t>54</w:t>
            </w:r>
          </w:p>
        </w:tc>
        <w:tc>
          <w:tcPr>
            <w:tcW w:w="3180" w:type="dxa"/>
            <w:tcMar>
              <w:top w:w="0" w:type="dxa"/>
              <w:bottom w:w="0" w:type="dxa"/>
            </w:tcMar>
            <w:vAlign w:val="center"/>
          </w:tcPr>
          <w:p w14:paraId="76AEC481" w14:textId="77777777" w:rsidR="003E20DF" w:rsidRDefault="00F01A5C">
            <w:pPr>
              <w:keepNext/>
              <w:keepLines/>
              <w:spacing w:after="0" w:line="240" w:lineRule="auto"/>
            </w:pPr>
            <w:r>
              <w:rPr>
                <w:sz w:val="18"/>
              </w:rPr>
              <w:t>Izdaci za otplatu glavnice primljenih kredita i zajmova (šifre 541+542+543+544+545+547)</w:t>
            </w:r>
          </w:p>
        </w:tc>
        <w:tc>
          <w:tcPr>
            <w:tcW w:w="700" w:type="dxa"/>
            <w:tcMar>
              <w:top w:w="0" w:type="dxa"/>
              <w:bottom w:w="0" w:type="dxa"/>
            </w:tcMar>
            <w:vAlign w:val="center"/>
          </w:tcPr>
          <w:p w14:paraId="29B56FF7" w14:textId="77777777" w:rsidR="003E20DF" w:rsidRDefault="00F01A5C">
            <w:pPr>
              <w:keepNext/>
              <w:keepLines/>
              <w:spacing w:after="0" w:line="240" w:lineRule="auto"/>
            </w:pPr>
            <w:r>
              <w:rPr>
                <w:sz w:val="18"/>
              </w:rPr>
              <w:t>54</w:t>
            </w:r>
          </w:p>
        </w:tc>
        <w:tc>
          <w:tcPr>
            <w:tcW w:w="1860" w:type="dxa"/>
            <w:tcMar>
              <w:top w:w="0" w:type="dxa"/>
              <w:bottom w:w="0" w:type="dxa"/>
            </w:tcMar>
            <w:vAlign w:val="center"/>
          </w:tcPr>
          <w:p w14:paraId="30952E2C" w14:textId="77777777" w:rsidR="003E20DF" w:rsidRDefault="00F01A5C">
            <w:pPr>
              <w:keepNext/>
              <w:keepLines/>
              <w:spacing w:after="0" w:line="240" w:lineRule="auto"/>
              <w:jc w:val="right"/>
            </w:pPr>
            <w:r>
              <w:rPr>
                <w:sz w:val="18"/>
              </w:rPr>
              <w:t>4.153.641,61</w:t>
            </w:r>
          </w:p>
        </w:tc>
        <w:tc>
          <w:tcPr>
            <w:tcW w:w="1860" w:type="dxa"/>
            <w:tcMar>
              <w:top w:w="0" w:type="dxa"/>
              <w:bottom w:w="0" w:type="dxa"/>
            </w:tcMar>
            <w:vAlign w:val="center"/>
          </w:tcPr>
          <w:p w14:paraId="661926D9" w14:textId="77777777" w:rsidR="003E20DF" w:rsidRDefault="00F01A5C">
            <w:pPr>
              <w:keepNext/>
              <w:keepLines/>
              <w:spacing w:after="0" w:line="240" w:lineRule="auto"/>
              <w:jc w:val="right"/>
            </w:pPr>
            <w:r>
              <w:rPr>
                <w:sz w:val="18"/>
              </w:rPr>
              <w:t>4.454.828,74</w:t>
            </w:r>
          </w:p>
        </w:tc>
        <w:tc>
          <w:tcPr>
            <w:tcW w:w="700" w:type="dxa"/>
            <w:tcMar>
              <w:top w:w="0" w:type="dxa"/>
              <w:bottom w:w="0" w:type="dxa"/>
            </w:tcMar>
            <w:vAlign w:val="center"/>
          </w:tcPr>
          <w:p w14:paraId="6DF43D01" w14:textId="77777777" w:rsidR="003E20DF" w:rsidRDefault="00F01A5C">
            <w:pPr>
              <w:keepNext/>
              <w:keepLines/>
              <w:spacing w:after="0" w:line="240" w:lineRule="auto"/>
              <w:jc w:val="right"/>
            </w:pPr>
            <w:r>
              <w:rPr>
                <w:sz w:val="18"/>
              </w:rPr>
              <w:t>107,3</w:t>
            </w:r>
          </w:p>
        </w:tc>
      </w:tr>
    </w:tbl>
    <w:p w14:paraId="07D0C817" w14:textId="77777777" w:rsidR="003E20DF" w:rsidRDefault="003E20DF">
      <w:pPr>
        <w:spacing w:after="0"/>
      </w:pPr>
    </w:p>
    <w:p w14:paraId="6F98C729" w14:textId="18651191" w:rsidR="003E20DF" w:rsidRDefault="00F01A5C" w:rsidP="00643908">
      <w:pPr>
        <w:jc w:val="both"/>
      </w:pPr>
      <w:r>
        <w:t>Plaćanje obveza temeljem glavnice kredita uredno se izvršava sukladno ugovornim obvezama.</w:t>
      </w:r>
    </w:p>
    <w:p w14:paraId="531D618F" w14:textId="77777777" w:rsidR="003E20DF" w:rsidRDefault="003E20DF"/>
    <w:p w14:paraId="293499EB" w14:textId="77777777" w:rsidR="003E20DF" w:rsidRDefault="00F01A5C">
      <w:pPr>
        <w:keepNext/>
        <w:spacing w:line="240" w:lineRule="auto"/>
        <w:jc w:val="center"/>
      </w:pPr>
      <w:r>
        <w:rPr>
          <w:b/>
          <w:sz w:val="28"/>
        </w:rPr>
        <w:t>Bilanca</w:t>
      </w:r>
    </w:p>
    <w:p w14:paraId="6201A695" w14:textId="77777777" w:rsidR="003E20DF" w:rsidRDefault="00F01A5C">
      <w:pPr>
        <w:keepNext/>
        <w:spacing w:line="240" w:lineRule="auto"/>
        <w:jc w:val="center"/>
      </w:pPr>
      <w:r>
        <w:rPr>
          <w:sz w:val="28"/>
        </w:rPr>
        <w:t>Bilješka 65.</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20DF" w14:paraId="2BED8931" w14:textId="77777777">
        <w:trPr>
          <w:cantSplit/>
        </w:trPr>
        <w:tc>
          <w:tcPr>
            <w:tcW w:w="700" w:type="dxa"/>
            <w:shd w:val="clear" w:color="auto" w:fill="E7F0F9"/>
            <w:tcMar>
              <w:top w:w="0" w:type="dxa"/>
              <w:bottom w:w="0" w:type="dxa"/>
            </w:tcMar>
            <w:vAlign w:val="center"/>
          </w:tcPr>
          <w:p w14:paraId="746096A4" w14:textId="77777777" w:rsidR="003E20DF" w:rsidRDefault="00F01A5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87FFCBA" w14:textId="77777777" w:rsidR="003E20DF" w:rsidRDefault="00F01A5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10F3BD2" w14:textId="77777777" w:rsidR="003E20DF" w:rsidRDefault="00F01A5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076AF5E" w14:textId="77777777" w:rsidR="003E20DF" w:rsidRDefault="00F01A5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4329F4F" w14:textId="77777777" w:rsidR="003E20DF" w:rsidRDefault="00F01A5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51684B2" w14:textId="77777777" w:rsidR="003E20DF" w:rsidRDefault="00F01A5C">
            <w:pPr>
              <w:keepNext/>
              <w:keepLines/>
              <w:spacing w:after="0" w:line="240" w:lineRule="auto"/>
              <w:jc w:val="center"/>
            </w:pPr>
            <w:r>
              <w:rPr>
                <w:b/>
                <w:sz w:val="18"/>
              </w:rPr>
              <w:t>Indeks (%)</w:t>
            </w:r>
          </w:p>
        </w:tc>
      </w:tr>
      <w:tr w:rsidR="003E20DF" w14:paraId="1EB96DEB" w14:textId="77777777">
        <w:trPr>
          <w:cantSplit/>
          <w:trHeight w:val="560"/>
        </w:trPr>
        <w:tc>
          <w:tcPr>
            <w:tcW w:w="700" w:type="dxa"/>
            <w:tcMar>
              <w:top w:w="0" w:type="dxa"/>
              <w:bottom w:w="0" w:type="dxa"/>
            </w:tcMar>
            <w:vAlign w:val="center"/>
          </w:tcPr>
          <w:p w14:paraId="52B4DF30" w14:textId="77777777" w:rsidR="003E20DF" w:rsidRDefault="00F01A5C">
            <w:pPr>
              <w:keepNext/>
              <w:keepLines/>
              <w:spacing w:after="0" w:line="240" w:lineRule="auto"/>
            </w:pPr>
            <w:r>
              <w:rPr>
                <w:sz w:val="18"/>
              </w:rPr>
              <w:t>0</w:t>
            </w:r>
          </w:p>
        </w:tc>
        <w:tc>
          <w:tcPr>
            <w:tcW w:w="3180" w:type="dxa"/>
            <w:tcMar>
              <w:top w:w="0" w:type="dxa"/>
              <w:bottom w:w="0" w:type="dxa"/>
            </w:tcMar>
            <w:vAlign w:val="center"/>
          </w:tcPr>
          <w:p w14:paraId="7FE30BBA" w14:textId="77777777" w:rsidR="003E20DF" w:rsidRDefault="00F01A5C">
            <w:pPr>
              <w:keepNext/>
              <w:keepLines/>
              <w:spacing w:after="0" w:line="240" w:lineRule="auto"/>
            </w:pPr>
            <w:r>
              <w:rPr>
                <w:sz w:val="18"/>
              </w:rPr>
              <w:t>Nefinancijska imovina (šifre 01+02+03+04+05+06)</w:t>
            </w:r>
          </w:p>
        </w:tc>
        <w:tc>
          <w:tcPr>
            <w:tcW w:w="700" w:type="dxa"/>
            <w:tcMar>
              <w:top w:w="0" w:type="dxa"/>
              <w:bottom w:w="0" w:type="dxa"/>
            </w:tcMar>
            <w:vAlign w:val="center"/>
          </w:tcPr>
          <w:p w14:paraId="4445CFDD" w14:textId="77777777" w:rsidR="003E20DF" w:rsidRDefault="00F01A5C">
            <w:pPr>
              <w:keepNext/>
              <w:keepLines/>
              <w:spacing w:after="0" w:line="240" w:lineRule="auto"/>
            </w:pPr>
            <w:r>
              <w:rPr>
                <w:sz w:val="18"/>
              </w:rPr>
              <w:t>B002</w:t>
            </w:r>
          </w:p>
        </w:tc>
        <w:tc>
          <w:tcPr>
            <w:tcW w:w="1860" w:type="dxa"/>
            <w:tcMar>
              <w:top w:w="0" w:type="dxa"/>
              <w:bottom w:w="0" w:type="dxa"/>
            </w:tcMar>
            <w:vAlign w:val="center"/>
          </w:tcPr>
          <w:p w14:paraId="45441D56" w14:textId="77777777" w:rsidR="003E20DF" w:rsidRDefault="00F01A5C">
            <w:pPr>
              <w:keepNext/>
              <w:keepLines/>
              <w:spacing w:after="0" w:line="240" w:lineRule="auto"/>
              <w:jc w:val="right"/>
            </w:pPr>
            <w:r>
              <w:rPr>
                <w:sz w:val="18"/>
              </w:rPr>
              <w:t>353.469.083,83</w:t>
            </w:r>
          </w:p>
        </w:tc>
        <w:tc>
          <w:tcPr>
            <w:tcW w:w="1860" w:type="dxa"/>
            <w:tcMar>
              <w:top w:w="0" w:type="dxa"/>
              <w:bottom w:w="0" w:type="dxa"/>
            </w:tcMar>
            <w:vAlign w:val="center"/>
          </w:tcPr>
          <w:p w14:paraId="61265417" w14:textId="77777777" w:rsidR="003E20DF" w:rsidRDefault="00F01A5C">
            <w:pPr>
              <w:keepNext/>
              <w:keepLines/>
              <w:spacing w:after="0" w:line="240" w:lineRule="auto"/>
              <w:jc w:val="right"/>
            </w:pPr>
            <w:r>
              <w:rPr>
                <w:sz w:val="18"/>
              </w:rPr>
              <w:t>429.140.927,16</w:t>
            </w:r>
          </w:p>
        </w:tc>
        <w:tc>
          <w:tcPr>
            <w:tcW w:w="700" w:type="dxa"/>
            <w:tcMar>
              <w:top w:w="0" w:type="dxa"/>
              <w:bottom w:w="0" w:type="dxa"/>
            </w:tcMar>
            <w:vAlign w:val="center"/>
          </w:tcPr>
          <w:p w14:paraId="1674ED1F" w14:textId="77777777" w:rsidR="003E20DF" w:rsidRDefault="00F01A5C">
            <w:pPr>
              <w:keepNext/>
              <w:keepLines/>
              <w:spacing w:after="0" w:line="240" w:lineRule="auto"/>
              <w:jc w:val="right"/>
            </w:pPr>
            <w:r>
              <w:rPr>
                <w:sz w:val="18"/>
              </w:rPr>
              <w:t>121,4</w:t>
            </w:r>
          </w:p>
        </w:tc>
      </w:tr>
    </w:tbl>
    <w:p w14:paraId="4ABA97ED" w14:textId="77777777" w:rsidR="003E20DF" w:rsidRDefault="003E20DF">
      <w:pPr>
        <w:spacing w:after="0"/>
      </w:pPr>
    </w:p>
    <w:p w14:paraId="73634AD7" w14:textId="785F9BD3" w:rsidR="003E20DF" w:rsidRDefault="00F01A5C" w:rsidP="00882057">
      <w:pPr>
        <w:ind w:firstLine="708"/>
        <w:jc w:val="both"/>
      </w:pPr>
      <w:r>
        <w:t>Promjene iskazane na AOP-ima nefinancijske imovine obrasca Bilanca rezultat su, uz  financijske transakcije Grada, odnosno izgradnju, kupovinu i prodaju nefinancijske imovine, promjena uslijed unosa vrijednosti imovine koja do sada nije imala iskazanu knjigovodstvenu vrijednost, ispravaka stanja imovine temeljem naknadno utvrđenih promjena i dr., što je i iskazano u obrascu P-VRIO. Najznačajnije povećanje nefinancijske imovine  vezano je uz kapitalne rashode Grada Osijeka koji su izvršeni u iznosu 16.441.248,48</w:t>
      </w:r>
      <w:r w:rsidR="00643908">
        <w:t xml:space="preserve"> </w:t>
      </w:r>
      <w:r>
        <w:t>eura.</w:t>
      </w:r>
    </w:p>
    <w:p w14:paraId="433B21F3" w14:textId="77777777" w:rsidR="003E20DF" w:rsidRDefault="003E20DF"/>
    <w:p w14:paraId="4E924D41" w14:textId="77777777" w:rsidR="003E20DF" w:rsidRDefault="00F01A5C">
      <w:pPr>
        <w:keepNext/>
        <w:spacing w:line="240" w:lineRule="auto"/>
        <w:jc w:val="center"/>
      </w:pPr>
      <w:r>
        <w:rPr>
          <w:sz w:val="28"/>
        </w:rPr>
        <w:lastRenderedPageBreak/>
        <w:t>Bilješka 66.</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20DF" w14:paraId="518BD4D0" w14:textId="77777777">
        <w:trPr>
          <w:cantSplit/>
        </w:trPr>
        <w:tc>
          <w:tcPr>
            <w:tcW w:w="700" w:type="dxa"/>
            <w:shd w:val="clear" w:color="auto" w:fill="E7F0F9"/>
            <w:tcMar>
              <w:top w:w="0" w:type="dxa"/>
              <w:bottom w:w="0" w:type="dxa"/>
            </w:tcMar>
            <w:vAlign w:val="center"/>
          </w:tcPr>
          <w:p w14:paraId="5DAA989E" w14:textId="77777777" w:rsidR="003E20DF" w:rsidRDefault="00F01A5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4ADD5B7" w14:textId="77777777" w:rsidR="003E20DF" w:rsidRDefault="00F01A5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BECB209" w14:textId="77777777" w:rsidR="003E20DF" w:rsidRDefault="00F01A5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276D41E" w14:textId="77777777" w:rsidR="003E20DF" w:rsidRDefault="00F01A5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3B45C5D" w14:textId="77777777" w:rsidR="003E20DF" w:rsidRDefault="00F01A5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94830FB" w14:textId="77777777" w:rsidR="003E20DF" w:rsidRDefault="00F01A5C">
            <w:pPr>
              <w:keepNext/>
              <w:keepLines/>
              <w:spacing w:after="0" w:line="240" w:lineRule="auto"/>
              <w:jc w:val="center"/>
            </w:pPr>
            <w:r>
              <w:rPr>
                <w:b/>
                <w:sz w:val="18"/>
              </w:rPr>
              <w:t>Indeks (%)</w:t>
            </w:r>
          </w:p>
        </w:tc>
      </w:tr>
      <w:tr w:rsidR="003E20DF" w14:paraId="0061D587" w14:textId="77777777">
        <w:trPr>
          <w:cantSplit/>
          <w:trHeight w:val="560"/>
        </w:trPr>
        <w:tc>
          <w:tcPr>
            <w:tcW w:w="700" w:type="dxa"/>
            <w:tcMar>
              <w:top w:w="0" w:type="dxa"/>
              <w:bottom w:w="0" w:type="dxa"/>
            </w:tcMar>
            <w:vAlign w:val="center"/>
          </w:tcPr>
          <w:p w14:paraId="7C702246" w14:textId="77777777" w:rsidR="003E20DF" w:rsidRDefault="00F01A5C">
            <w:pPr>
              <w:keepNext/>
              <w:keepLines/>
              <w:spacing w:after="0" w:line="240" w:lineRule="auto"/>
            </w:pPr>
            <w:r>
              <w:rPr>
                <w:sz w:val="18"/>
              </w:rPr>
              <w:t>011</w:t>
            </w:r>
          </w:p>
        </w:tc>
        <w:tc>
          <w:tcPr>
            <w:tcW w:w="3180" w:type="dxa"/>
            <w:tcMar>
              <w:top w:w="0" w:type="dxa"/>
              <w:bottom w:w="0" w:type="dxa"/>
            </w:tcMar>
            <w:vAlign w:val="center"/>
          </w:tcPr>
          <w:p w14:paraId="74DFDB27" w14:textId="77777777" w:rsidR="003E20DF" w:rsidRDefault="00F01A5C">
            <w:pPr>
              <w:keepNext/>
              <w:keepLines/>
              <w:spacing w:after="0" w:line="240" w:lineRule="auto"/>
            </w:pPr>
            <w:r>
              <w:rPr>
                <w:sz w:val="18"/>
              </w:rPr>
              <w:t>Materijalna imovina - prirodna bogatstva</w:t>
            </w:r>
          </w:p>
        </w:tc>
        <w:tc>
          <w:tcPr>
            <w:tcW w:w="700" w:type="dxa"/>
            <w:tcMar>
              <w:top w:w="0" w:type="dxa"/>
              <w:bottom w:w="0" w:type="dxa"/>
            </w:tcMar>
            <w:vAlign w:val="center"/>
          </w:tcPr>
          <w:p w14:paraId="4AE74D98" w14:textId="77777777" w:rsidR="003E20DF" w:rsidRDefault="00F01A5C">
            <w:pPr>
              <w:keepNext/>
              <w:keepLines/>
              <w:spacing w:after="0" w:line="240" w:lineRule="auto"/>
            </w:pPr>
            <w:r>
              <w:rPr>
                <w:sz w:val="18"/>
              </w:rPr>
              <w:t>011</w:t>
            </w:r>
          </w:p>
        </w:tc>
        <w:tc>
          <w:tcPr>
            <w:tcW w:w="1860" w:type="dxa"/>
            <w:tcMar>
              <w:top w:w="0" w:type="dxa"/>
              <w:bottom w:w="0" w:type="dxa"/>
            </w:tcMar>
            <w:vAlign w:val="center"/>
          </w:tcPr>
          <w:p w14:paraId="2698A5C0" w14:textId="77777777" w:rsidR="003E20DF" w:rsidRDefault="00F01A5C">
            <w:pPr>
              <w:keepNext/>
              <w:keepLines/>
              <w:spacing w:after="0" w:line="240" w:lineRule="auto"/>
              <w:jc w:val="right"/>
            </w:pPr>
            <w:r>
              <w:rPr>
                <w:sz w:val="18"/>
              </w:rPr>
              <w:t>59.755.992,10</w:t>
            </w:r>
          </w:p>
        </w:tc>
        <w:tc>
          <w:tcPr>
            <w:tcW w:w="1860" w:type="dxa"/>
            <w:tcMar>
              <w:top w:w="0" w:type="dxa"/>
              <w:bottom w:w="0" w:type="dxa"/>
            </w:tcMar>
            <w:vAlign w:val="center"/>
          </w:tcPr>
          <w:p w14:paraId="491B6EF2" w14:textId="77777777" w:rsidR="003E20DF" w:rsidRDefault="00F01A5C">
            <w:pPr>
              <w:keepNext/>
              <w:keepLines/>
              <w:spacing w:after="0" w:line="240" w:lineRule="auto"/>
              <w:jc w:val="right"/>
            </w:pPr>
            <w:r>
              <w:rPr>
                <w:sz w:val="18"/>
              </w:rPr>
              <w:t>79.116.692,10</w:t>
            </w:r>
          </w:p>
        </w:tc>
        <w:tc>
          <w:tcPr>
            <w:tcW w:w="700" w:type="dxa"/>
            <w:tcMar>
              <w:top w:w="0" w:type="dxa"/>
              <w:bottom w:w="0" w:type="dxa"/>
            </w:tcMar>
            <w:vAlign w:val="center"/>
          </w:tcPr>
          <w:p w14:paraId="3C7C1C98" w14:textId="77777777" w:rsidR="003E20DF" w:rsidRDefault="00F01A5C">
            <w:pPr>
              <w:keepNext/>
              <w:keepLines/>
              <w:spacing w:after="0" w:line="240" w:lineRule="auto"/>
              <w:jc w:val="right"/>
            </w:pPr>
            <w:r>
              <w:rPr>
                <w:sz w:val="18"/>
              </w:rPr>
              <w:t>132,4</w:t>
            </w:r>
          </w:p>
        </w:tc>
      </w:tr>
    </w:tbl>
    <w:p w14:paraId="44495B82" w14:textId="77777777" w:rsidR="003E20DF" w:rsidRDefault="003E20DF">
      <w:pPr>
        <w:spacing w:after="0"/>
      </w:pPr>
    </w:p>
    <w:p w14:paraId="4D485E4C" w14:textId="6BE985F5" w:rsidR="003E20DF" w:rsidRDefault="00F01A5C" w:rsidP="00882057">
      <w:pPr>
        <w:ind w:firstLine="708"/>
        <w:jc w:val="both"/>
      </w:pPr>
      <w:r>
        <w:t>U okviru ove šifre najznačajnije bilančne promjene su vezane za zamjenu nekretnina s Republikom Hrvatskom, temeljem koje je Grad Osijek stekao građevinsko zemljište vrijednosti 6.270.000,00 eura, nabavu zemljišta od tvrtke Divmar u vrijednosti 123.000,00 eura te kupovinu zemljišta od privatnih osoba vrijednosti 56.900,00 eura. Izvršeno je evidentiranje zemljišta u poslovnoj zoni Nemetin, darovanog od strane Republike Hrvatske u 2024. godini vrijednosti 12.900.000,00 eura, uknjiženje darovanog zemljišta od Hotela Royal vrijednosti 20.800,00 eura (javni prolaz) te isknjižena zemljišta prodana putem javnog natječaja u 2025.</w:t>
      </w:r>
    </w:p>
    <w:p w14:paraId="6C566A31" w14:textId="77777777" w:rsidR="003E20DF" w:rsidRDefault="003E20DF"/>
    <w:p w14:paraId="4A34B8CF" w14:textId="77777777" w:rsidR="003E20DF" w:rsidRDefault="00F01A5C">
      <w:pPr>
        <w:keepNext/>
        <w:spacing w:line="240" w:lineRule="auto"/>
        <w:jc w:val="center"/>
      </w:pPr>
      <w:r>
        <w:rPr>
          <w:sz w:val="28"/>
        </w:rPr>
        <w:t>Bilješka 67.</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20DF" w14:paraId="083871C2" w14:textId="77777777">
        <w:trPr>
          <w:cantSplit/>
        </w:trPr>
        <w:tc>
          <w:tcPr>
            <w:tcW w:w="700" w:type="dxa"/>
            <w:shd w:val="clear" w:color="auto" w:fill="E7F0F9"/>
            <w:tcMar>
              <w:top w:w="0" w:type="dxa"/>
              <w:bottom w:w="0" w:type="dxa"/>
            </w:tcMar>
            <w:vAlign w:val="center"/>
          </w:tcPr>
          <w:p w14:paraId="63A2C353" w14:textId="77777777" w:rsidR="003E20DF" w:rsidRDefault="00F01A5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62C3718" w14:textId="77777777" w:rsidR="003E20DF" w:rsidRDefault="00F01A5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94A7BCC" w14:textId="77777777" w:rsidR="003E20DF" w:rsidRDefault="00F01A5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97C001F" w14:textId="77777777" w:rsidR="003E20DF" w:rsidRDefault="00F01A5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51D9C40" w14:textId="77777777" w:rsidR="003E20DF" w:rsidRDefault="00F01A5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C0007CF" w14:textId="77777777" w:rsidR="003E20DF" w:rsidRDefault="00F01A5C">
            <w:pPr>
              <w:keepNext/>
              <w:keepLines/>
              <w:spacing w:after="0" w:line="240" w:lineRule="auto"/>
              <w:jc w:val="center"/>
            </w:pPr>
            <w:r>
              <w:rPr>
                <w:b/>
                <w:sz w:val="18"/>
              </w:rPr>
              <w:t>Indeks (%)</w:t>
            </w:r>
          </w:p>
        </w:tc>
      </w:tr>
      <w:tr w:rsidR="003E20DF" w14:paraId="4198894E" w14:textId="77777777">
        <w:trPr>
          <w:cantSplit/>
          <w:trHeight w:val="560"/>
        </w:trPr>
        <w:tc>
          <w:tcPr>
            <w:tcW w:w="700" w:type="dxa"/>
            <w:tcMar>
              <w:top w:w="0" w:type="dxa"/>
              <w:bottom w:w="0" w:type="dxa"/>
            </w:tcMar>
            <w:vAlign w:val="center"/>
          </w:tcPr>
          <w:p w14:paraId="7870E5FB" w14:textId="77777777" w:rsidR="003E20DF" w:rsidRDefault="00F01A5C">
            <w:pPr>
              <w:keepNext/>
              <w:keepLines/>
              <w:spacing w:after="0" w:line="240" w:lineRule="auto"/>
            </w:pPr>
            <w:r>
              <w:rPr>
                <w:sz w:val="18"/>
              </w:rPr>
              <w:t>012</w:t>
            </w:r>
          </w:p>
        </w:tc>
        <w:tc>
          <w:tcPr>
            <w:tcW w:w="3180" w:type="dxa"/>
            <w:tcMar>
              <w:top w:w="0" w:type="dxa"/>
              <w:bottom w:w="0" w:type="dxa"/>
            </w:tcMar>
            <w:vAlign w:val="center"/>
          </w:tcPr>
          <w:p w14:paraId="1E33CB77" w14:textId="77777777" w:rsidR="003E20DF" w:rsidRDefault="00F01A5C">
            <w:pPr>
              <w:keepNext/>
              <w:keepLines/>
              <w:spacing w:after="0" w:line="240" w:lineRule="auto"/>
            </w:pPr>
            <w:r>
              <w:rPr>
                <w:sz w:val="18"/>
              </w:rPr>
              <w:t>Nematerijalna imovina</w:t>
            </w:r>
          </w:p>
        </w:tc>
        <w:tc>
          <w:tcPr>
            <w:tcW w:w="700" w:type="dxa"/>
            <w:tcMar>
              <w:top w:w="0" w:type="dxa"/>
              <w:bottom w:w="0" w:type="dxa"/>
            </w:tcMar>
            <w:vAlign w:val="center"/>
          </w:tcPr>
          <w:p w14:paraId="441162AE" w14:textId="77777777" w:rsidR="003E20DF" w:rsidRDefault="00F01A5C">
            <w:pPr>
              <w:keepNext/>
              <w:keepLines/>
              <w:spacing w:after="0" w:line="240" w:lineRule="auto"/>
            </w:pPr>
            <w:r>
              <w:rPr>
                <w:sz w:val="18"/>
              </w:rPr>
              <w:t>012</w:t>
            </w:r>
          </w:p>
        </w:tc>
        <w:tc>
          <w:tcPr>
            <w:tcW w:w="1860" w:type="dxa"/>
            <w:tcMar>
              <w:top w:w="0" w:type="dxa"/>
              <w:bottom w:w="0" w:type="dxa"/>
            </w:tcMar>
            <w:vAlign w:val="center"/>
          </w:tcPr>
          <w:p w14:paraId="6A038DDE" w14:textId="77777777" w:rsidR="003E20DF" w:rsidRDefault="00F01A5C">
            <w:pPr>
              <w:keepNext/>
              <w:keepLines/>
              <w:spacing w:after="0" w:line="240" w:lineRule="auto"/>
              <w:jc w:val="right"/>
            </w:pPr>
            <w:r>
              <w:rPr>
                <w:sz w:val="18"/>
              </w:rPr>
              <w:t>4.677.273,40</w:t>
            </w:r>
          </w:p>
        </w:tc>
        <w:tc>
          <w:tcPr>
            <w:tcW w:w="1860" w:type="dxa"/>
            <w:tcMar>
              <w:top w:w="0" w:type="dxa"/>
              <w:bottom w:w="0" w:type="dxa"/>
            </w:tcMar>
            <w:vAlign w:val="center"/>
          </w:tcPr>
          <w:p w14:paraId="256663A1" w14:textId="77777777" w:rsidR="003E20DF" w:rsidRDefault="00F01A5C">
            <w:pPr>
              <w:keepNext/>
              <w:keepLines/>
              <w:spacing w:after="0" w:line="240" w:lineRule="auto"/>
              <w:jc w:val="right"/>
            </w:pPr>
            <w:r>
              <w:rPr>
                <w:sz w:val="18"/>
              </w:rPr>
              <w:t>5.391.031,20</w:t>
            </w:r>
          </w:p>
        </w:tc>
        <w:tc>
          <w:tcPr>
            <w:tcW w:w="700" w:type="dxa"/>
            <w:tcMar>
              <w:top w:w="0" w:type="dxa"/>
              <w:bottom w:w="0" w:type="dxa"/>
            </w:tcMar>
            <w:vAlign w:val="center"/>
          </w:tcPr>
          <w:p w14:paraId="6408D321" w14:textId="77777777" w:rsidR="003E20DF" w:rsidRDefault="00F01A5C">
            <w:pPr>
              <w:keepNext/>
              <w:keepLines/>
              <w:spacing w:after="0" w:line="240" w:lineRule="auto"/>
              <w:jc w:val="right"/>
            </w:pPr>
            <w:r>
              <w:rPr>
                <w:sz w:val="18"/>
              </w:rPr>
              <w:t>115,3</w:t>
            </w:r>
          </w:p>
        </w:tc>
      </w:tr>
    </w:tbl>
    <w:p w14:paraId="13D859E5" w14:textId="77777777" w:rsidR="003E20DF" w:rsidRDefault="003E20DF">
      <w:pPr>
        <w:spacing w:after="0"/>
      </w:pPr>
    </w:p>
    <w:p w14:paraId="6DFD5086" w14:textId="77777777" w:rsidR="003E20DF" w:rsidRDefault="00F01A5C" w:rsidP="00882057">
      <w:pPr>
        <w:ind w:firstLine="708"/>
        <w:jc w:val="both"/>
      </w:pPr>
      <w:r>
        <w:t>Promjene u okviru ove imovine rezultat su izvršenih rashoda u 2025. za nabavu projektne dokumentacije za ulaganje u objekte Grada (projekt modernizacije tramvajske pruge, rekonstrukcije i izgradnje biciklističkih staza, nerazvrstanih cesta i dr.), te studije vezane za prijavu projekata na pozive za dodjelu bespovratnih sredstava.</w:t>
      </w:r>
    </w:p>
    <w:p w14:paraId="2A071693" w14:textId="77777777" w:rsidR="003E20DF" w:rsidRDefault="003E20DF"/>
    <w:p w14:paraId="6CF9BC79" w14:textId="77777777" w:rsidR="003E20DF" w:rsidRDefault="00F01A5C">
      <w:pPr>
        <w:keepNext/>
        <w:spacing w:line="240" w:lineRule="auto"/>
        <w:jc w:val="center"/>
      </w:pPr>
      <w:r>
        <w:rPr>
          <w:sz w:val="28"/>
        </w:rPr>
        <w:t>Bilješka 68.</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20DF" w14:paraId="77B6B8FB" w14:textId="77777777">
        <w:trPr>
          <w:cantSplit/>
        </w:trPr>
        <w:tc>
          <w:tcPr>
            <w:tcW w:w="700" w:type="dxa"/>
            <w:shd w:val="clear" w:color="auto" w:fill="E7F0F9"/>
            <w:tcMar>
              <w:top w:w="0" w:type="dxa"/>
              <w:bottom w:w="0" w:type="dxa"/>
            </w:tcMar>
            <w:vAlign w:val="center"/>
          </w:tcPr>
          <w:p w14:paraId="43C05B34" w14:textId="77777777" w:rsidR="003E20DF" w:rsidRDefault="00F01A5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577AD70" w14:textId="77777777" w:rsidR="003E20DF" w:rsidRDefault="00F01A5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B456979" w14:textId="77777777" w:rsidR="003E20DF" w:rsidRDefault="00F01A5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0EBFAE2" w14:textId="77777777" w:rsidR="003E20DF" w:rsidRDefault="00F01A5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8048539" w14:textId="77777777" w:rsidR="003E20DF" w:rsidRDefault="00F01A5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0779C5F" w14:textId="77777777" w:rsidR="003E20DF" w:rsidRDefault="00F01A5C">
            <w:pPr>
              <w:keepNext/>
              <w:keepLines/>
              <w:spacing w:after="0" w:line="240" w:lineRule="auto"/>
              <w:jc w:val="center"/>
            </w:pPr>
            <w:r>
              <w:rPr>
                <w:b/>
                <w:sz w:val="18"/>
              </w:rPr>
              <w:t>Indeks (%)</w:t>
            </w:r>
          </w:p>
        </w:tc>
      </w:tr>
      <w:tr w:rsidR="003E20DF" w14:paraId="4AAC780C" w14:textId="77777777">
        <w:trPr>
          <w:cantSplit/>
          <w:trHeight w:val="560"/>
        </w:trPr>
        <w:tc>
          <w:tcPr>
            <w:tcW w:w="700" w:type="dxa"/>
            <w:tcMar>
              <w:top w:w="0" w:type="dxa"/>
              <w:bottom w:w="0" w:type="dxa"/>
            </w:tcMar>
            <w:vAlign w:val="center"/>
          </w:tcPr>
          <w:p w14:paraId="37E37889" w14:textId="77777777" w:rsidR="003E20DF" w:rsidRDefault="00F01A5C">
            <w:pPr>
              <w:keepNext/>
              <w:keepLines/>
              <w:spacing w:after="0" w:line="240" w:lineRule="auto"/>
            </w:pPr>
            <w:r>
              <w:rPr>
                <w:sz w:val="18"/>
              </w:rPr>
              <w:t>0211</w:t>
            </w:r>
          </w:p>
        </w:tc>
        <w:tc>
          <w:tcPr>
            <w:tcW w:w="3180" w:type="dxa"/>
            <w:tcMar>
              <w:top w:w="0" w:type="dxa"/>
              <w:bottom w:w="0" w:type="dxa"/>
            </w:tcMar>
            <w:vAlign w:val="center"/>
          </w:tcPr>
          <w:p w14:paraId="2C93E348" w14:textId="77777777" w:rsidR="003E20DF" w:rsidRDefault="00F01A5C">
            <w:pPr>
              <w:keepNext/>
              <w:keepLines/>
              <w:spacing w:after="0" w:line="240" w:lineRule="auto"/>
            </w:pPr>
            <w:r>
              <w:rPr>
                <w:sz w:val="18"/>
              </w:rPr>
              <w:t>Stambeni objekti</w:t>
            </w:r>
          </w:p>
        </w:tc>
        <w:tc>
          <w:tcPr>
            <w:tcW w:w="700" w:type="dxa"/>
            <w:tcMar>
              <w:top w:w="0" w:type="dxa"/>
              <w:bottom w:w="0" w:type="dxa"/>
            </w:tcMar>
            <w:vAlign w:val="center"/>
          </w:tcPr>
          <w:p w14:paraId="40830DE2" w14:textId="77777777" w:rsidR="003E20DF" w:rsidRDefault="00F01A5C">
            <w:pPr>
              <w:keepNext/>
              <w:keepLines/>
              <w:spacing w:after="0" w:line="240" w:lineRule="auto"/>
            </w:pPr>
            <w:r>
              <w:rPr>
                <w:sz w:val="18"/>
              </w:rPr>
              <w:t>0211</w:t>
            </w:r>
          </w:p>
        </w:tc>
        <w:tc>
          <w:tcPr>
            <w:tcW w:w="1860" w:type="dxa"/>
            <w:tcMar>
              <w:top w:w="0" w:type="dxa"/>
              <w:bottom w:w="0" w:type="dxa"/>
            </w:tcMar>
            <w:vAlign w:val="center"/>
          </w:tcPr>
          <w:p w14:paraId="7EB870F0" w14:textId="77777777" w:rsidR="003E20DF" w:rsidRDefault="00F01A5C">
            <w:pPr>
              <w:keepNext/>
              <w:keepLines/>
              <w:spacing w:after="0" w:line="240" w:lineRule="auto"/>
              <w:jc w:val="right"/>
            </w:pPr>
            <w:r>
              <w:rPr>
                <w:sz w:val="18"/>
              </w:rPr>
              <w:t>19.035.755,26</w:t>
            </w:r>
          </w:p>
        </w:tc>
        <w:tc>
          <w:tcPr>
            <w:tcW w:w="1860" w:type="dxa"/>
            <w:tcMar>
              <w:top w:w="0" w:type="dxa"/>
              <w:bottom w:w="0" w:type="dxa"/>
            </w:tcMar>
            <w:vAlign w:val="center"/>
          </w:tcPr>
          <w:p w14:paraId="04D19F3A" w14:textId="77777777" w:rsidR="003E20DF" w:rsidRDefault="00F01A5C">
            <w:pPr>
              <w:keepNext/>
              <w:keepLines/>
              <w:spacing w:after="0" w:line="240" w:lineRule="auto"/>
              <w:jc w:val="right"/>
            </w:pPr>
            <w:r>
              <w:rPr>
                <w:sz w:val="18"/>
              </w:rPr>
              <w:t>21.482.041,63</w:t>
            </w:r>
          </w:p>
        </w:tc>
        <w:tc>
          <w:tcPr>
            <w:tcW w:w="700" w:type="dxa"/>
            <w:tcMar>
              <w:top w:w="0" w:type="dxa"/>
              <w:bottom w:w="0" w:type="dxa"/>
            </w:tcMar>
            <w:vAlign w:val="center"/>
          </w:tcPr>
          <w:p w14:paraId="78D6273E" w14:textId="77777777" w:rsidR="003E20DF" w:rsidRDefault="00F01A5C">
            <w:pPr>
              <w:keepNext/>
              <w:keepLines/>
              <w:spacing w:after="0" w:line="240" w:lineRule="auto"/>
              <w:jc w:val="right"/>
            </w:pPr>
            <w:r>
              <w:rPr>
                <w:sz w:val="18"/>
              </w:rPr>
              <w:t>112,9</w:t>
            </w:r>
          </w:p>
        </w:tc>
      </w:tr>
    </w:tbl>
    <w:p w14:paraId="55864E62" w14:textId="77777777" w:rsidR="003E20DF" w:rsidRDefault="003E20DF">
      <w:pPr>
        <w:spacing w:after="0"/>
      </w:pPr>
    </w:p>
    <w:p w14:paraId="1C79E044" w14:textId="77777777" w:rsidR="003E20DF" w:rsidRDefault="00F01A5C" w:rsidP="00882057">
      <w:pPr>
        <w:ind w:firstLine="708"/>
        <w:jc w:val="both"/>
      </w:pPr>
      <w:r>
        <w:t>Povećanje u okviru Stambenih objekata rezultat je izvršene procjene vrijednosti stambenih objekata iskazanih u bilanci Grada s vrijednosti 0,13 eura (54 stana). Izvršeno je isknjiženje prodanih stanova temeljem izvršene prodaje. </w:t>
      </w:r>
    </w:p>
    <w:p w14:paraId="0A9D624E" w14:textId="77777777" w:rsidR="003E20DF" w:rsidRDefault="003E20DF"/>
    <w:p w14:paraId="52D0F665" w14:textId="77777777" w:rsidR="003E20DF" w:rsidRDefault="00F01A5C">
      <w:pPr>
        <w:keepNext/>
        <w:spacing w:line="240" w:lineRule="auto"/>
        <w:jc w:val="center"/>
      </w:pPr>
      <w:r>
        <w:rPr>
          <w:sz w:val="28"/>
        </w:rPr>
        <w:lastRenderedPageBreak/>
        <w:t>Bilješka 69.</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20DF" w14:paraId="57A4A048" w14:textId="77777777">
        <w:trPr>
          <w:cantSplit/>
        </w:trPr>
        <w:tc>
          <w:tcPr>
            <w:tcW w:w="700" w:type="dxa"/>
            <w:shd w:val="clear" w:color="auto" w:fill="E7F0F9"/>
            <w:tcMar>
              <w:top w:w="0" w:type="dxa"/>
              <w:bottom w:w="0" w:type="dxa"/>
            </w:tcMar>
            <w:vAlign w:val="center"/>
          </w:tcPr>
          <w:p w14:paraId="3589530A" w14:textId="77777777" w:rsidR="003E20DF" w:rsidRDefault="00F01A5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0437202" w14:textId="77777777" w:rsidR="003E20DF" w:rsidRDefault="00F01A5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679AC96" w14:textId="77777777" w:rsidR="003E20DF" w:rsidRDefault="00F01A5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4DEEC0E" w14:textId="77777777" w:rsidR="003E20DF" w:rsidRDefault="00F01A5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712AEB3" w14:textId="77777777" w:rsidR="003E20DF" w:rsidRDefault="00F01A5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2C4EC29" w14:textId="77777777" w:rsidR="003E20DF" w:rsidRDefault="00F01A5C">
            <w:pPr>
              <w:keepNext/>
              <w:keepLines/>
              <w:spacing w:after="0" w:line="240" w:lineRule="auto"/>
              <w:jc w:val="center"/>
            </w:pPr>
            <w:r>
              <w:rPr>
                <w:b/>
                <w:sz w:val="18"/>
              </w:rPr>
              <w:t>Indeks (%)</w:t>
            </w:r>
          </w:p>
        </w:tc>
      </w:tr>
      <w:tr w:rsidR="003E20DF" w14:paraId="1A5EB725" w14:textId="77777777">
        <w:trPr>
          <w:cantSplit/>
          <w:trHeight w:val="560"/>
        </w:trPr>
        <w:tc>
          <w:tcPr>
            <w:tcW w:w="700" w:type="dxa"/>
            <w:tcMar>
              <w:top w:w="0" w:type="dxa"/>
              <w:bottom w:w="0" w:type="dxa"/>
            </w:tcMar>
            <w:vAlign w:val="center"/>
          </w:tcPr>
          <w:p w14:paraId="61A5DD9F" w14:textId="77777777" w:rsidR="003E20DF" w:rsidRDefault="00F01A5C">
            <w:pPr>
              <w:keepNext/>
              <w:keepLines/>
              <w:spacing w:after="0" w:line="240" w:lineRule="auto"/>
            </w:pPr>
            <w:r>
              <w:rPr>
                <w:sz w:val="18"/>
              </w:rPr>
              <w:t>0212</w:t>
            </w:r>
          </w:p>
        </w:tc>
        <w:tc>
          <w:tcPr>
            <w:tcW w:w="3180" w:type="dxa"/>
            <w:tcMar>
              <w:top w:w="0" w:type="dxa"/>
              <w:bottom w:w="0" w:type="dxa"/>
            </w:tcMar>
            <w:vAlign w:val="center"/>
          </w:tcPr>
          <w:p w14:paraId="33340A15" w14:textId="77777777" w:rsidR="003E20DF" w:rsidRDefault="00F01A5C">
            <w:pPr>
              <w:keepNext/>
              <w:keepLines/>
              <w:spacing w:after="0" w:line="240" w:lineRule="auto"/>
            </w:pPr>
            <w:r>
              <w:rPr>
                <w:sz w:val="18"/>
              </w:rPr>
              <w:t>Poslovni objekti</w:t>
            </w:r>
          </w:p>
        </w:tc>
        <w:tc>
          <w:tcPr>
            <w:tcW w:w="700" w:type="dxa"/>
            <w:tcMar>
              <w:top w:w="0" w:type="dxa"/>
              <w:bottom w:w="0" w:type="dxa"/>
            </w:tcMar>
            <w:vAlign w:val="center"/>
          </w:tcPr>
          <w:p w14:paraId="6E73A1FD" w14:textId="77777777" w:rsidR="003E20DF" w:rsidRDefault="00F01A5C">
            <w:pPr>
              <w:keepNext/>
              <w:keepLines/>
              <w:spacing w:after="0" w:line="240" w:lineRule="auto"/>
            </w:pPr>
            <w:r>
              <w:rPr>
                <w:sz w:val="18"/>
              </w:rPr>
              <w:t>0212</w:t>
            </w:r>
          </w:p>
        </w:tc>
        <w:tc>
          <w:tcPr>
            <w:tcW w:w="1860" w:type="dxa"/>
            <w:tcMar>
              <w:top w:w="0" w:type="dxa"/>
              <w:bottom w:w="0" w:type="dxa"/>
            </w:tcMar>
            <w:vAlign w:val="center"/>
          </w:tcPr>
          <w:p w14:paraId="651A695C" w14:textId="77777777" w:rsidR="003E20DF" w:rsidRDefault="00F01A5C">
            <w:pPr>
              <w:keepNext/>
              <w:keepLines/>
              <w:spacing w:after="0" w:line="240" w:lineRule="auto"/>
              <w:jc w:val="right"/>
            </w:pPr>
            <w:r>
              <w:rPr>
                <w:sz w:val="18"/>
              </w:rPr>
              <w:t>177.136.721,63</w:t>
            </w:r>
          </w:p>
        </w:tc>
        <w:tc>
          <w:tcPr>
            <w:tcW w:w="1860" w:type="dxa"/>
            <w:tcMar>
              <w:top w:w="0" w:type="dxa"/>
              <w:bottom w:w="0" w:type="dxa"/>
            </w:tcMar>
            <w:vAlign w:val="center"/>
          </w:tcPr>
          <w:p w14:paraId="4148D167" w14:textId="77777777" w:rsidR="003E20DF" w:rsidRDefault="00F01A5C">
            <w:pPr>
              <w:keepNext/>
              <w:keepLines/>
              <w:spacing w:after="0" w:line="240" w:lineRule="auto"/>
              <w:jc w:val="right"/>
            </w:pPr>
            <w:r>
              <w:rPr>
                <w:sz w:val="18"/>
              </w:rPr>
              <w:t>235.039.703,39</w:t>
            </w:r>
          </w:p>
        </w:tc>
        <w:tc>
          <w:tcPr>
            <w:tcW w:w="700" w:type="dxa"/>
            <w:tcMar>
              <w:top w:w="0" w:type="dxa"/>
              <w:bottom w:w="0" w:type="dxa"/>
            </w:tcMar>
            <w:vAlign w:val="center"/>
          </w:tcPr>
          <w:p w14:paraId="2196343C" w14:textId="77777777" w:rsidR="003E20DF" w:rsidRDefault="00F01A5C">
            <w:pPr>
              <w:keepNext/>
              <w:keepLines/>
              <w:spacing w:after="0" w:line="240" w:lineRule="auto"/>
              <w:jc w:val="right"/>
            </w:pPr>
            <w:r>
              <w:rPr>
                <w:sz w:val="18"/>
              </w:rPr>
              <w:t>132,7</w:t>
            </w:r>
          </w:p>
        </w:tc>
      </w:tr>
    </w:tbl>
    <w:p w14:paraId="3EA4B5A6" w14:textId="77777777" w:rsidR="003E20DF" w:rsidRDefault="003E20DF">
      <w:pPr>
        <w:spacing w:after="0"/>
      </w:pPr>
    </w:p>
    <w:p w14:paraId="4FD9656A" w14:textId="78C509A0" w:rsidR="003E20DF" w:rsidRDefault="00F01A5C" w:rsidP="00882057">
      <w:pPr>
        <w:ind w:firstLine="708"/>
        <w:jc w:val="both"/>
      </w:pPr>
      <w:r>
        <w:t>Poslovni objekti veći su za 57.902.981,76 eura. Ovo povećanje najvećim dijelom vezano je za izvršene procjene vrijednosti poslovnih prostora iskazanih u bilanci Grada s vrijednosti 0,13 eura u iznosu 50.682.905,68 eura, izvršenih ulaganja u ovu vrstu imovine u 2025. i prijenosa  završenih investicija s investicija u tijeku (DV Uske njive 1.921.072,12 eura, Dječje odmaralište Omišalj 1.274.336,97 eura i dr.) </w:t>
      </w:r>
    </w:p>
    <w:p w14:paraId="6214719E" w14:textId="77777777" w:rsidR="003E20DF" w:rsidRDefault="003E20DF"/>
    <w:p w14:paraId="455799A2" w14:textId="77777777" w:rsidR="003E20DF" w:rsidRDefault="00F01A5C">
      <w:pPr>
        <w:keepNext/>
        <w:spacing w:line="240" w:lineRule="auto"/>
        <w:jc w:val="center"/>
      </w:pPr>
      <w:r>
        <w:rPr>
          <w:sz w:val="28"/>
        </w:rPr>
        <w:t>Bilješka 70.</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20DF" w14:paraId="10C6CBF4" w14:textId="77777777">
        <w:trPr>
          <w:cantSplit/>
        </w:trPr>
        <w:tc>
          <w:tcPr>
            <w:tcW w:w="700" w:type="dxa"/>
            <w:shd w:val="clear" w:color="auto" w:fill="E7F0F9"/>
            <w:tcMar>
              <w:top w:w="0" w:type="dxa"/>
              <w:bottom w:w="0" w:type="dxa"/>
            </w:tcMar>
            <w:vAlign w:val="center"/>
          </w:tcPr>
          <w:p w14:paraId="4CADB085" w14:textId="77777777" w:rsidR="003E20DF" w:rsidRDefault="00F01A5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E59C1E6" w14:textId="77777777" w:rsidR="003E20DF" w:rsidRDefault="00F01A5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4705765" w14:textId="77777777" w:rsidR="003E20DF" w:rsidRDefault="00F01A5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4D57211" w14:textId="77777777" w:rsidR="003E20DF" w:rsidRDefault="00F01A5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B85CEBD" w14:textId="77777777" w:rsidR="003E20DF" w:rsidRDefault="00F01A5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7591D53" w14:textId="77777777" w:rsidR="003E20DF" w:rsidRDefault="00F01A5C">
            <w:pPr>
              <w:keepNext/>
              <w:keepLines/>
              <w:spacing w:after="0" w:line="240" w:lineRule="auto"/>
              <w:jc w:val="center"/>
            </w:pPr>
            <w:r>
              <w:rPr>
                <w:b/>
                <w:sz w:val="18"/>
              </w:rPr>
              <w:t>Indeks (%)</w:t>
            </w:r>
          </w:p>
        </w:tc>
      </w:tr>
      <w:tr w:rsidR="003E20DF" w14:paraId="329A5F79" w14:textId="77777777">
        <w:trPr>
          <w:cantSplit/>
          <w:trHeight w:val="560"/>
        </w:trPr>
        <w:tc>
          <w:tcPr>
            <w:tcW w:w="700" w:type="dxa"/>
            <w:tcMar>
              <w:top w:w="0" w:type="dxa"/>
              <w:bottom w:w="0" w:type="dxa"/>
            </w:tcMar>
            <w:vAlign w:val="center"/>
          </w:tcPr>
          <w:p w14:paraId="358AF81A" w14:textId="77777777" w:rsidR="003E20DF" w:rsidRDefault="00F01A5C">
            <w:pPr>
              <w:keepNext/>
              <w:keepLines/>
              <w:spacing w:after="0" w:line="240" w:lineRule="auto"/>
            </w:pPr>
            <w:r>
              <w:rPr>
                <w:sz w:val="18"/>
              </w:rPr>
              <w:t>022 i 02922</w:t>
            </w:r>
          </w:p>
        </w:tc>
        <w:tc>
          <w:tcPr>
            <w:tcW w:w="3180" w:type="dxa"/>
            <w:tcMar>
              <w:top w:w="0" w:type="dxa"/>
              <w:bottom w:w="0" w:type="dxa"/>
            </w:tcMar>
            <w:vAlign w:val="center"/>
          </w:tcPr>
          <w:p w14:paraId="2F5CDA95" w14:textId="77777777" w:rsidR="003E20DF" w:rsidRDefault="00F01A5C">
            <w:pPr>
              <w:keepNext/>
              <w:keepLines/>
              <w:spacing w:after="0" w:line="240" w:lineRule="auto"/>
            </w:pPr>
            <w:r>
              <w:rPr>
                <w:sz w:val="18"/>
              </w:rPr>
              <w:t>Postrojenja i oprema (šifre 0221 do 0228 - 02922)</w:t>
            </w:r>
          </w:p>
        </w:tc>
        <w:tc>
          <w:tcPr>
            <w:tcW w:w="700" w:type="dxa"/>
            <w:tcMar>
              <w:top w:w="0" w:type="dxa"/>
              <w:bottom w:w="0" w:type="dxa"/>
            </w:tcMar>
            <w:vAlign w:val="center"/>
          </w:tcPr>
          <w:p w14:paraId="183A5781" w14:textId="77777777" w:rsidR="003E20DF" w:rsidRDefault="00F01A5C">
            <w:pPr>
              <w:keepNext/>
              <w:keepLines/>
              <w:spacing w:after="0" w:line="240" w:lineRule="auto"/>
            </w:pPr>
            <w:r>
              <w:rPr>
                <w:sz w:val="18"/>
              </w:rPr>
              <w:t>022 i 02922</w:t>
            </w:r>
          </w:p>
        </w:tc>
        <w:tc>
          <w:tcPr>
            <w:tcW w:w="1860" w:type="dxa"/>
            <w:tcMar>
              <w:top w:w="0" w:type="dxa"/>
              <w:bottom w:w="0" w:type="dxa"/>
            </w:tcMar>
            <w:vAlign w:val="center"/>
          </w:tcPr>
          <w:p w14:paraId="113BAD62" w14:textId="77777777" w:rsidR="003E20DF" w:rsidRDefault="00F01A5C">
            <w:pPr>
              <w:keepNext/>
              <w:keepLines/>
              <w:spacing w:after="0" w:line="240" w:lineRule="auto"/>
              <w:jc w:val="right"/>
            </w:pPr>
            <w:r>
              <w:rPr>
                <w:sz w:val="18"/>
              </w:rPr>
              <w:t>1.607.232,95</w:t>
            </w:r>
          </w:p>
        </w:tc>
        <w:tc>
          <w:tcPr>
            <w:tcW w:w="1860" w:type="dxa"/>
            <w:tcMar>
              <w:top w:w="0" w:type="dxa"/>
              <w:bottom w:w="0" w:type="dxa"/>
            </w:tcMar>
            <w:vAlign w:val="center"/>
          </w:tcPr>
          <w:p w14:paraId="397740F3" w14:textId="77777777" w:rsidR="003E20DF" w:rsidRDefault="00F01A5C">
            <w:pPr>
              <w:keepNext/>
              <w:keepLines/>
              <w:spacing w:after="0" w:line="240" w:lineRule="auto"/>
              <w:jc w:val="right"/>
            </w:pPr>
            <w:r>
              <w:rPr>
                <w:sz w:val="18"/>
              </w:rPr>
              <w:t>1.659.836,60</w:t>
            </w:r>
          </w:p>
        </w:tc>
        <w:tc>
          <w:tcPr>
            <w:tcW w:w="700" w:type="dxa"/>
            <w:tcMar>
              <w:top w:w="0" w:type="dxa"/>
              <w:bottom w:w="0" w:type="dxa"/>
            </w:tcMar>
            <w:vAlign w:val="center"/>
          </w:tcPr>
          <w:p w14:paraId="2F037488" w14:textId="77777777" w:rsidR="003E20DF" w:rsidRDefault="00F01A5C">
            <w:pPr>
              <w:keepNext/>
              <w:keepLines/>
              <w:spacing w:after="0" w:line="240" w:lineRule="auto"/>
              <w:jc w:val="right"/>
            </w:pPr>
            <w:r>
              <w:rPr>
                <w:sz w:val="18"/>
              </w:rPr>
              <w:t>103,3</w:t>
            </w:r>
          </w:p>
        </w:tc>
      </w:tr>
    </w:tbl>
    <w:p w14:paraId="674D652B" w14:textId="77777777" w:rsidR="003E20DF" w:rsidRDefault="003E20DF">
      <w:pPr>
        <w:spacing w:after="0"/>
      </w:pPr>
    </w:p>
    <w:p w14:paraId="1F2F1603" w14:textId="77777777" w:rsidR="003E20DF" w:rsidRDefault="00F01A5C" w:rsidP="00882057">
      <w:pPr>
        <w:ind w:firstLine="708"/>
        <w:jc w:val="both"/>
      </w:pPr>
      <w:r>
        <w:t>Povećanje u okviru ove šifre rezultat je nabave računalne i druge uredske opreme i namještaja za potrebe opremanja Gradske uprave, nabave mobilnih uređaja sukladno ugovoru s davateljem usluge, opremanje zgrade IT PARKA i DV Krijesnica, nabava sonde za mjerenje kvalitete vode za kupanje na Dravi te prijenosa sa računa 05 izvršenih rashoda u 2024. za opremanje osnovnih škola koje su u pilot projektu cjelodnevne škole. Smanjenje vrijednosti rezultat je izvršenog isknjiženja rashodovane opreme i izvršenog ispravka vrijednosti sukladno zakonskim propisima.</w:t>
      </w:r>
    </w:p>
    <w:p w14:paraId="6C6C4070" w14:textId="77777777" w:rsidR="003E20DF" w:rsidRDefault="003E20DF"/>
    <w:p w14:paraId="0FF0F03E" w14:textId="77777777" w:rsidR="003E20DF" w:rsidRDefault="00F01A5C">
      <w:pPr>
        <w:keepNext/>
        <w:spacing w:line="240" w:lineRule="auto"/>
        <w:jc w:val="center"/>
      </w:pPr>
      <w:r>
        <w:rPr>
          <w:sz w:val="28"/>
        </w:rPr>
        <w:t>Bilješka 71.</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20DF" w14:paraId="7F7888B7" w14:textId="77777777">
        <w:trPr>
          <w:cantSplit/>
        </w:trPr>
        <w:tc>
          <w:tcPr>
            <w:tcW w:w="700" w:type="dxa"/>
            <w:shd w:val="clear" w:color="auto" w:fill="E7F0F9"/>
            <w:tcMar>
              <w:top w:w="0" w:type="dxa"/>
              <w:bottom w:w="0" w:type="dxa"/>
            </w:tcMar>
            <w:vAlign w:val="center"/>
          </w:tcPr>
          <w:p w14:paraId="293D2F33" w14:textId="77777777" w:rsidR="003E20DF" w:rsidRDefault="00F01A5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B48859B" w14:textId="77777777" w:rsidR="003E20DF" w:rsidRDefault="00F01A5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83A4921" w14:textId="77777777" w:rsidR="003E20DF" w:rsidRDefault="00F01A5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F1424D9" w14:textId="77777777" w:rsidR="003E20DF" w:rsidRDefault="00F01A5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2D6529B" w14:textId="77777777" w:rsidR="003E20DF" w:rsidRDefault="00F01A5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32BB982" w14:textId="77777777" w:rsidR="003E20DF" w:rsidRDefault="00F01A5C">
            <w:pPr>
              <w:keepNext/>
              <w:keepLines/>
              <w:spacing w:after="0" w:line="240" w:lineRule="auto"/>
              <w:jc w:val="center"/>
            </w:pPr>
            <w:r>
              <w:rPr>
                <w:b/>
                <w:sz w:val="18"/>
              </w:rPr>
              <w:t>Indeks (%)</w:t>
            </w:r>
          </w:p>
        </w:tc>
      </w:tr>
      <w:tr w:rsidR="003E20DF" w14:paraId="30A40245" w14:textId="77777777">
        <w:trPr>
          <w:cantSplit/>
          <w:trHeight w:val="560"/>
        </w:trPr>
        <w:tc>
          <w:tcPr>
            <w:tcW w:w="700" w:type="dxa"/>
            <w:tcMar>
              <w:top w:w="0" w:type="dxa"/>
              <w:bottom w:w="0" w:type="dxa"/>
            </w:tcMar>
            <w:vAlign w:val="center"/>
          </w:tcPr>
          <w:p w14:paraId="4E21C22D" w14:textId="77777777" w:rsidR="003E20DF" w:rsidRDefault="00F01A5C">
            <w:pPr>
              <w:keepNext/>
              <w:keepLines/>
              <w:spacing w:after="0" w:line="240" w:lineRule="auto"/>
            </w:pPr>
            <w:r>
              <w:rPr>
                <w:sz w:val="18"/>
              </w:rPr>
              <w:t>026 i 02926</w:t>
            </w:r>
          </w:p>
        </w:tc>
        <w:tc>
          <w:tcPr>
            <w:tcW w:w="3180" w:type="dxa"/>
            <w:tcMar>
              <w:top w:w="0" w:type="dxa"/>
              <w:bottom w:w="0" w:type="dxa"/>
            </w:tcMar>
            <w:vAlign w:val="center"/>
          </w:tcPr>
          <w:p w14:paraId="00230F32" w14:textId="77777777" w:rsidR="003E20DF" w:rsidRDefault="00F01A5C">
            <w:pPr>
              <w:keepNext/>
              <w:keepLines/>
              <w:spacing w:after="0" w:line="240" w:lineRule="auto"/>
            </w:pPr>
            <w:r>
              <w:rPr>
                <w:sz w:val="18"/>
              </w:rPr>
              <w:t>Nematerijalna proizvedena imovina (šifre 0261 do 0264 - 02926)</w:t>
            </w:r>
          </w:p>
        </w:tc>
        <w:tc>
          <w:tcPr>
            <w:tcW w:w="700" w:type="dxa"/>
            <w:tcMar>
              <w:top w:w="0" w:type="dxa"/>
              <w:bottom w:w="0" w:type="dxa"/>
            </w:tcMar>
            <w:vAlign w:val="center"/>
          </w:tcPr>
          <w:p w14:paraId="5C0A9248" w14:textId="77777777" w:rsidR="003E20DF" w:rsidRDefault="00F01A5C">
            <w:pPr>
              <w:keepNext/>
              <w:keepLines/>
              <w:spacing w:after="0" w:line="240" w:lineRule="auto"/>
            </w:pPr>
            <w:r>
              <w:rPr>
                <w:sz w:val="18"/>
              </w:rPr>
              <w:t>026 i 02926</w:t>
            </w:r>
          </w:p>
        </w:tc>
        <w:tc>
          <w:tcPr>
            <w:tcW w:w="1860" w:type="dxa"/>
            <w:tcMar>
              <w:top w:w="0" w:type="dxa"/>
              <w:bottom w:w="0" w:type="dxa"/>
            </w:tcMar>
            <w:vAlign w:val="center"/>
          </w:tcPr>
          <w:p w14:paraId="1C9AB8F0" w14:textId="77777777" w:rsidR="003E20DF" w:rsidRDefault="00F01A5C">
            <w:pPr>
              <w:keepNext/>
              <w:keepLines/>
              <w:spacing w:after="0" w:line="240" w:lineRule="auto"/>
              <w:jc w:val="right"/>
            </w:pPr>
            <w:r>
              <w:rPr>
                <w:sz w:val="18"/>
              </w:rPr>
              <w:t>646.450,08</w:t>
            </w:r>
          </w:p>
        </w:tc>
        <w:tc>
          <w:tcPr>
            <w:tcW w:w="1860" w:type="dxa"/>
            <w:tcMar>
              <w:top w:w="0" w:type="dxa"/>
              <w:bottom w:w="0" w:type="dxa"/>
            </w:tcMar>
            <w:vAlign w:val="center"/>
          </w:tcPr>
          <w:p w14:paraId="76B59CCF" w14:textId="77777777" w:rsidR="003E20DF" w:rsidRDefault="00F01A5C">
            <w:pPr>
              <w:keepNext/>
              <w:keepLines/>
              <w:spacing w:after="0" w:line="240" w:lineRule="auto"/>
              <w:jc w:val="right"/>
            </w:pPr>
            <w:r>
              <w:rPr>
                <w:sz w:val="18"/>
              </w:rPr>
              <w:t>882.870,03</w:t>
            </w:r>
          </w:p>
        </w:tc>
        <w:tc>
          <w:tcPr>
            <w:tcW w:w="700" w:type="dxa"/>
            <w:tcMar>
              <w:top w:w="0" w:type="dxa"/>
              <w:bottom w:w="0" w:type="dxa"/>
            </w:tcMar>
            <w:vAlign w:val="center"/>
          </w:tcPr>
          <w:p w14:paraId="304DB84C" w14:textId="77777777" w:rsidR="003E20DF" w:rsidRDefault="00F01A5C">
            <w:pPr>
              <w:keepNext/>
              <w:keepLines/>
              <w:spacing w:after="0" w:line="240" w:lineRule="auto"/>
              <w:jc w:val="right"/>
            </w:pPr>
            <w:r>
              <w:rPr>
                <w:sz w:val="18"/>
              </w:rPr>
              <w:t>136,6</w:t>
            </w:r>
          </w:p>
        </w:tc>
      </w:tr>
    </w:tbl>
    <w:p w14:paraId="1EF7CF8F" w14:textId="77777777" w:rsidR="003E20DF" w:rsidRDefault="003E20DF">
      <w:pPr>
        <w:spacing w:after="0"/>
      </w:pPr>
    </w:p>
    <w:p w14:paraId="23E26729" w14:textId="77777777" w:rsidR="003E20DF" w:rsidRDefault="00F01A5C" w:rsidP="00882057">
      <w:pPr>
        <w:ind w:firstLine="708"/>
        <w:jc w:val="both"/>
      </w:pPr>
      <w:r>
        <w:t>Povećanje u okviru ove imovine vezano je za provedbu projekta digitalizacije gradskog sustava u suradnji s Ericsson Nikola Tesla te izradu dokumenata prostornog uređenja (GUP, transformacija prostornog plana uređenja grada).</w:t>
      </w:r>
    </w:p>
    <w:p w14:paraId="3F9C4AF0" w14:textId="77777777" w:rsidR="003E20DF" w:rsidRDefault="003E20DF"/>
    <w:p w14:paraId="69F3B81F" w14:textId="77777777" w:rsidR="003E20DF" w:rsidRDefault="00F01A5C">
      <w:pPr>
        <w:keepNext/>
        <w:spacing w:line="240" w:lineRule="auto"/>
        <w:jc w:val="center"/>
      </w:pPr>
      <w:r>
        <w:rPr>
          <w:sz w:val="28"/>
        </w:rPr>
        <w:lastRenderedPageBreak/>
        <w:t>Bilješka 72.</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20DF" w14:paraId="51DCB47E" w14:textId="77777777">
        <w:trPr>
          <w:cantSplit/>
        </w:trPr>
        <w:tc>
          <w:tcPr>
            <w:tcW w:w="700" w:type="dxa"/>
            <w:shd w:val="clear" w:color="auto" w:fill="E7F0F9"/>
            <w:tcMar>
              <w:top w:w="0" w:type="dxa"/>
              <w:bottom w:w="0" w:type="dxa"/>
            </w:tcMar>
            <w:vAlign w:val="center"/>
          </w:tcPr>
          <w:p w14:paraId="45EB5C6C" w14:textId="77777777" w:rsidR="003E20DF" w:rsidRDefault="00F01A5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14568EF" w14:textId="77777777" w:rsidR="003E20DF" w:rsidRDefault="00F01A5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ED78087" w14:textId="77777777" w:rsidR="003E20DF" w:rsidRDefault="00F01A5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C6A7D80" w14:textId="77777777" w:rsidR="003E20DF" w:rsidRDefault="00F01A5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C5D9C20" w14:textId="77777777" w:rsidR="003E20DF" w:rsidRDefault="00F01A5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E3B3E95" w14:textId="77777777" w:rsidR="003E20DF" w:rsidRDefault="00F01A5C">
            <w:pPr>
              <w:keepNext/>
              <w:keepLines/>
              <w:spacing w:after="0" w:line="240" w:lineRule="auto"/>
              <w:jc w:val="center"/>
            </w:pPr>
            <w:r>
              <w:rPr>
                <w:b/>
                <w:sz w:val="18"/>
              </w:rPr>
              <w:t>Indeks (%)</w:t>
            </w:r>
          </w:p>
        </w:tc>
      </w:tr>
      <w:tr w:rsidR="003E20DF" w14:paraId="6E023336" w14:textId="77777777">
        <w:trPr>
          <w:cantSplit/>
          <w:trHeight w:val="560"/>
        </w:trPr>
        <w:tc>
          <w:tcPr>
            <w:tcW w:w="700" w:type="dxa"/>
            <w:tcMar>
              <w:top w:w="0" w:type="dxa"/>
              <w:bottom w:w="0" w:type="dxa"/>
            </w:tcMar>
            <w:vAlign w:val="center"/>
          </w:tcPr>
          <w:p w14:paraId="1B0521DD" w14:textId="77777777" w:rsidR="003E20DF" w:rsidRDefault="00F01A5C">
            <w:pPr>
              <w:keepNext/>
              <w:keepLines/>
              <w:spacing w:after="0" w:line="240" w:lineRule="auto"/>
            </w:pPr>
            <w:r>
              <w:rPr>
                <w:sz w:val="18"/>
              </w:rPr>
              <w:t>05</w:t>
            </w:r>
          </w:p>
        </w:tc>
        <w:tc>
          <w:tcPr>
            <w:tcW w:w="3180" w:type="dxa"/>
            <w:tcMar>
              <w:top w:w="0" w:type="dxa"/>
              <w:bottom w:w="0" w:type="dxa"/>
            </w:tcMar>
            <w:vAlign w:val="center"/>
          </w:tcPr>
          <w:p w14:paraId="2EF0D7D4" w14:textId="77777777" w:rsidR="003E20DF" w:rsidRDefault="00F01A5C">
            <w:pPr>
              <w:keepNext/>
              <w:keepLines/>
              <w:spacing w:after="0" w:line="240" w:lineRule="auto"/>
            </w:pPr>
            <w:r>
              <w:rPr>
                <w:sz w:val="18"/>
              </w:rPr>
              <w:t>Dugotrajna nefinancijska imovina u pripremi (šifre 051 do 056)</w:t>
            </w:r>
          </w:p>
        </w:tc>
        <w:tc>
          <w:tcPr>
            <w:tcW w:w="700" w:type="dxa"/>
            <w:tcMar>
              <w:top w:w="0" w:type="dxa"/>
              <w:bottom w:w="0" w:type="dxa"/>
            </w:tcMar>
            <w:vAlign w:val="center"/>
          </w:tcPr>
          <w:p w14:paraId="6894B0DC" w14:textId="77777777" w:rsidR="003E20DF" w:rsidRDefault="00F01A5C">
            <w:pPr>
              <w:keepNext/>
              <w:keepLines/>
              <w:spacing w:after="0" w:line="240" w:lineRule="auto"/>
            </w:pPr>
            <w:r>
              <w:rPr>
                <w:sz w:val="18"/>
              </w:rPr>
              <w:t>05</w:t>
            </w:r>
          </w:p>
        </w:tc>
        <w:tc>
          <w:tcPr>
            <w:tcW w:w="1860" w:type="dxa"/>
            <w:tcMar>
              <w:top w:w="0" w:type="dxa"/>
              <w:bottom w:w="0" w:type="dxa"/>
            </w:tcMar>
            <w:vAlign w:val="center"/>
          </w:tcPr>
          <w:p w14:paraId="2B51E7C0" w14:textId="77777777" w:rsidR="003E20DF" w:rsidRDefault="00F01A5C">
            <w:pPr>
              <w:keepNext/>
              <w:keepLines/>
              <w:spacing w:after="0" w:line="240" w:lineRule="auto"/>
              <w:jc w:val="right"/>
            </w:pPr>
            <w:r>
              <w:rPr>
                <w:sz w:val="18"/>
              </w:rPr>
              <w:t>8.343.634,63</w:t>
            </w:r>
          </w:p>
        </w:tc>
        <w:tc>
          <w:tcPr>
            <w:tcW w:w="1860" w:type="dxa"/>
            <w:tcMar>
              <w:top w:w="0" w:type="dxa"/>
              <w:bottom w:w="0" w:type="dxa"/>
            </w:tcMar>
            <w:vAlign w:val="center"/>
          </w:tcPr>
          <w:p w14:paraId="003485F3" w14:textId="77777777" w:rsidR="003E20DF" w:rsidRDefault="00F01A5C">
            <w:pPr>
              <w:keepNext/>
              <w:keepLines/>
              <w:spacing w:after="0" w:line="240" w:lineRule="auto"/>
              <w:jc w:val="right"/>
            </w:pPr>
            <w:r>
              <w:rPr>
                <w:sz w:val="18"/>
              </w:rPr>
              <w:t>15.746.730,65</w:t>
            </w:r>
          </w:p>
        </w:tc>
        <w:tc>
          <w:tcPr>
            <w:tcW w:w="700" w:type="dxa"/>
            <w:tcMar>
              <w:top w:w="0" w:type="dxa"/>
              <w:bottom w:w="0" w:type="dxa"/>
            </w:tcMar>
            <w:vAlign w:val="center"/>
          </w:tcPr>
          <w:p w14:paraId="7A035C8B" w14:textId="77777777" w:rsidR="003E20DF" w:rsidRDefault="00F01A5C">
            <w:pPr>
              <w:keepNext/>
              <w:keepLines/>
              <w:spacing w:after="0" w:line="240" w:lineRule="auto"/>
              <w:jc w:val="right"/>
            </w:pPr>
            <w:r>
              <w:rPr>
                <w:sz w:val="18"/>
              </w:rPr>
              <w:t>188,7</w:t>
            </w:r>
          </w:p>
        </w:tc>
      </w:tr>
    </w:tbl>
    <w:p w14:paraId="65738A70" w14:textId="77777777" w:rsidR="003E20DF" w:rsidRDefault="003E20DF">
      <w:pPr>
        <w:spacing w:after="0"/>
      </w:pPr>
    </w:p>
    <w:p w14:paraId="1C92D337" w14:textId="77777777" w:rsidR="003E20DF" w:rsidRDefault="00F01A5C" w:rsidP="00882057">
      <w:r>
        <w:t>Dugotrajna nefinancijska imovina u pripremi veća je za 7.403.096,02 eura. Najznačajnija ulaganja vezana su za sljedeće investicije:</w:t>
      </w:r>
    </w:p>
    <w:p w14:paraId="47BDA75E" w14:textId="77777777" w:rsidR="003E20DF" w:rsidRDefault="00F01A5C" w:rsidP="001B4CFE">
      <w:r>
        <w:t>Održavanje nerazvrstanih cesta, mostova, </w:t>
      </w:r>
    </w:p>
    <w:p w14:paraId="51CA9870" w14:textId="2332D760" w:rsidR="003E20DF" w:rsidRDefault="00F01A5C" w:rsidP="001B4CFE">
      <w:r>
        <w:t>pješačkih i biciklističkih površina</w:t>
      </w:r>
      <w:r w:rsidR="00DA5BBD">
        <w:t>:</w:t>
      </w:r>
      <w:r>
        <w:t xml:space="preserve">                                                                        1.141.876,18</w:t>
      </w:r>
      <w:r w:rsidR="00DA5BBD">
        <w:t xml:space="preserve"> </w:t>
      </w:r>
      <w:r w:rsidR="00094CFF">
        <w:t>€</w:t>
      </w:r>
    </w:p>
    <w:p w14:paraId="6446F1FA" w14:textId="77777777" w:rsidR="003E20DF" w:rsidRDefault="00F01A5C" w:rsidP="001B4CFE">
      <w:r>
        <w:t>Energetska obnova dječjih vrtića (ETC Mačkamama</w:t>
      </w:r>
    </w:p>
    <w:p w14:paraId="10BDF63D" w14:textId="259AFC34" w:rsidR="003E20DF" w:rsidRDefault="00F01A5C" w:rsidP="001B4CFE">
      <w:r>
        <w:t>I DV Krijesnica)</w:t>
      </w:r>
      <w:r w:rsidR="00DA5BBD">
        <w:t>:</w:t>
      </w:r>
      <w:r w:rsidR="001B4CFE">
        <w:t xml:space="preserve"> </w:t>
      </w:r>
      <w:r>
        <w:t xml:space="preserve">                                                                                                 </w:t>
      </w:r>
      <w:r w:rsidR="00882057">
        <w:t xml:space="preserve">  </w:t>
      </w:r>
      <w:r>
        <w:t xml:space="preserve">  939.102,25 </w:t>
      </w:r>
      <w:r w:rsidR="00094CFF">
        <w:t>€</w:t>
      </w:r>
    </w:p>
    <w:p w14:paraId="629C43A5" w14:textId="6753AA74" w:rsidR="003E20DF" w:rsidRDefault="00F01A5C" w:rsidP="001B4CFE">
      <w:r>
        <w:t xml:space="preserve">Rekonstrukcija Copacabana                                                                              </w:t>
      </w:r>
      <w:r w:rsidR="00094CFF">
        <w:t xml:space="preserve"> </w:t>
      </w:r>
      <w:r>
        <w:t xml:space="preserve">   1.524.504,46 </w:t>
      </w:r>
      <w:r w:rsidR="00094CFF">
        <w:t>€</w:t>
      </w:r>
    </w:p>
    <w:p w14:paraId="1FDC07B4" w14:textId="32D89889" w:rsidR="003E20DF" w:rsidRDefault="00F01A5C" w:rsidP="001B4CFE">
      <w:r>
        <w:t xml:space="preserve">Uređenje pročelja Pučkog otvorenog učilišta                                                          217.268,80 </w:t>
      </w:r>
      <w:r w:rsidR="00094CFF">
        <w:t>€</w:t>
      </w:r>
    </w:p>
    <w:p w14:paraId="57205A68" w14:textId="07A5AF25" w:rsidR="003E20DF" w:rsidRDefault="00F01A5C" w:rsidP="001B4CFE">
      <w:r>
        <w:t xml:space="preserve">Energetska obnova zgrade Javne vatrogasne postrojbe                                           348.772,11 </w:t>
      </w:r>
      <w:r w:rsidR="00094CFF">
        <w:t>€</w:t>
      </w:r>
    </w:p>
    <w:p w14:paraId="46462227" w14:textId="77777777" w:rsidR="001B4CFE" w:rsidRDefault="001B4CFE"/>
    <w:p w14:paraId="0F3935B4" w14:textId="7A3CC8EC" w:rsidR="003E20DF" w:rsidRDefault="00F01A5C" w:rsidP="00882057">
      <w:pPr>
        <w:ind w:firstLine="708"/>
        <w:jc w:val="both"/>
      </w:pPr>
      <w:r>
        <w:t>Uz evidentirane rashode za investicije u tijeku, u 2025. izvršen je ranije naveden prijenos rashoda za okončane investicije od čega su najznačajniji iznosi vezani za Odmaralište Omišalj  1.274.336,97 eura i MO Brijest 1.016.594,20 eura</w:t>
      </w:r>
      <w:r w:rsidR="003403F4">
        <w:t>.</w:t>
      </w:r>
    </w:p>
    <w:p w14:paraId="20CDFFC7" w14:textId="77777777" w:rsidR="003E20DF" w:rsidRDefault="00F01A5C" w:rsidP="00882057">
      <w:pPr>
        <w:ind w:firstLine="708"/>
        <w:jc w:val="both"/>
      </w:pPr>
      <w:r>
        <w:t>Izvršen je prijenos imovine koja je stavljena u upotrebu, a odnosi se na pilot projekt cjelodnevne škole u OŠ August Šenoa i OŠ Mladost i drugu imovinu Grada.</w:t>
      </w:r>
    </w:p>
    <w:p w14:paraId="19DA306A" w14:textId="77777777" w:rsidR="003E20DF" w:rsidRDefault="003E20DF"/>
    <w:p w14:paraId="6280120C" w14:textId="77777777" w:rsidR="003E20DF" w:rsidRDefault="00F01A5C">
      <w:pPr>
        <w:keepNext/>
        <w:spacing w:line="240" w:lineRule="auto"/>
        <w:jc w:val="center"/>
      </w:pPr>
      <w:r>
        <w:rPr>
          <w:sz w:val="28"/>
        </w:rPr>
        <w:t>Bilješka 73.</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20DF" w14:paraId="02717FE7" w14:textId="77777777">
        <w:trPr>
          <w:cantSplit/>
        </w:trPr>
        <w:tc>
          <w:tcPr>
            <w:tcW w:w="700" w:type="dxa"/>
            <w:shd w:val="clear" w:color="auto" w:fill="E7F0F9"/>
            <w:tcMar>
              <w:top w:w="0" w:type="dxa"/>
              <w:bottom w:w="0" w:type="dxa"/>
            </w:tcMar>
            <w:vAlign w:val="center"/>
          </w:tcPr>
          <w:p w14:paraId="66413165" w14:textId="77777777" w:rsidR="003E20DF" w:rsidRDefault="00F01A5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E10E421" w14:textId="77777777" w:rsidR="003E20DF" w:rsidRDefault="00F01A5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90CAA2C" w14:textId="77777777" w:rsidR="003E20DF" w:rsidRDefault="00F01A5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5E907EB" w14:textId="77777777" w:rsidR="003E20DF" w:rsidRDefault="00F01A5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7E1831C" w14:textId="77777777" w:rsidR="003E20DF" w:rsidRDefault="00F01A5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16FA09E" w14:textId="77777777" w:rsidR="003E20DF" w:rsidRDefault="00F01A5C">
            <w:pPr>
              <w:keepNext/>
              <w:keepLines/>
              <w:spacing w:after="0" w:line="240" w:lineRule="auto"/>
              <w:jc w:val="center"/>
            </w:pPr>
            <w:r>
              <w:rPr>
                <w:b/>
                <w:sz w:val="18"/>
              </w:rPr>
              <w:t>Indeks (%)</w:t>
            </w:r>
          </w:p>
        </w:tc>
      </w:tr>
      <w:tr w:rsidR="003E20DF" w14:paraId="0DB41577" w14:textId="77777777">
        <w:trPr>
          <w:cantSplit/>
          <w:trHeight w:val="560"/>
        </w:trPr>
        <w:tc>
          <w:tcPr>
            <w:tcW w:w="700" w:type="dxa"/>
            <w:tcMar>
              <w:top w:w="0" w:type="dxa"/>
              <w:bottom w:w="0" w:type="dxa"/>
            </w:tcMar>
            <w:vAlign w:val="center"/>
          </w:tcPr>
          <w:p w14:paraId="574484BA" w14:textId="77777777" w:rsidR="003E20DF" w:rsidRDefault="00F01A5C">
            <w:pPr>
              <w:keepNext/>
              <w:keepLines/>
              <w:spacing w:after="0" w:line="240" w:lineRule="auto"/>
            </w:pPr>
            <w:r>
              <w:rPr>
                <w:sz w:val="18"/>
              </w:rPr>
              <w:t>1</w:t>
            </w:r>
          </w:p>
        </w:tc>
        <w:tc>
          <w:tcPr>
            <w:tcW w:w="3180" w:type="dxa"/>
            <w:tcMar>
              <w:top w:w="0" w:type="dxa"/>
              <w:bottom w:w="0" w:type="dxa"/>
            </w:tcMar>
            <w:vAlign w:val="center"/>
          </w:tcPr>
          <w:p w14:paraId="7AA4BC2B" w14:textId="77777777" w:rsidR="003E20DF" w:rsidRDefault="00F01A5C">
            <w:pPr>
              <w:keepNext/>
              <w:keepLines/>
              <w:spacing w:after="0" w:line="240" w:lineRule="auto"/>
            </w:pPr>
            <w:r>
              <w:rPr>
                <w:sz w:val="18"/>
              </w:rPr>
              <w:t>Financijska imovina (šifre 11+12+13+14+15+16+17+19)</w:t>
            </w:r>
          </w:p>
        </w:tc>
        <w:tc>
          <w:tcPr>
            <w:tcW w:w="700" w:type="dxa"/>
            <w:tcMar>
              <w:top w:w="0" w:type="dxa"/>
              <w:bottom w:w="0" w:type="dxa"/>
            </w:tcMar>
            <w:vAlign w:val="center"/>
          </w:tcPr>
          <w:p w14:paraId="1CD3C458" w14:textId="77777777" w:rsidR="003E20DF" w:rsidRDefault="00F01A5C">
            <w:pPr>
              <w:keepNext/>
              <w:keepLines/>
              <w:spacing w:after="0" w:line="240" w:lineRule="auto"/>
            </w:pPr>
            <w:r>
              <w:rPr>
                <w:sz w:val="18"/>
              </w:rPr>
              <w:t>1</w:t>
            </w:r>
          </w:p>
        </w:tc>
        <w:tc>
          <w:tcPr>
            <w:tcW w:w="1860" w:type="dxa"/>
            <w:tcMar>
              <w:top w:w="0" w:type="dxa"/>
              <w:bottom w:w="0" w:type="dxa"/>
            </w:tcMar>
            <w:vAlign w:val="center"/>
          </w:tcPr>
          <w:p w14:paraId="03202E3A" w14:textId="77777777" w:rsidR="003E20DF" w:rsidRDefault="00F01A5C">
            <w:pPr>
              <w:keepNext/>
              <w:keepLines/>
              <w:spacing w:after="0" w:line="240" w:lineRule="auto"/>
              <w:jc w:val="right"/>
            </w:pPr>
            <w:r>
              <w:rPr>
                <w:sz w:val="18"/>
              </w:rPr>
              <w:t>102.496.159,97</w:t>
            </w:r>
          </w:p>
        </w:tc>
        <w:tc>
          <w:tcPr>
            <w:tcW w:w="1860" w:type="dxa"/>
            <w:tcMar>
              <w:top w:w="0" w:type="dxa"/>
              <w:bottom w:w="0" w:type="dxa"/>
            </w:tcMar>
            <w:vAlign w:val="center"/>
          </w:tcPr>
          <w:p w14:paraId="049A1AC6" w14:textId="77777777" w:rsidR="003E20DF" w:rsidRDefault="00F01A5C">
            <w:pPr>
              <w:keepNext/>
              <w:keepLines/>
              <w:spacing w:after="0" w:line="240" w:lineRule="auto"/>
              <w:jc w:val="right"/>
            </w:pPr>
            <w:r>
              <w:rPr>
                <w:sz w:val="18"/>
              </w:rPr>
              <w:t>101.945.978,96</w:t>
            </w:r>
          </w:p>
        </w:tc>
        <w:tc>
          <w:tcPr>
            <w:tcW w:w="700" w:type="dxa"/>
            <w:tcMar>
              <w:top w:w="0" w:type="dxa"/>
              <w:bottom w:w="0" w:type="dxa"/>
            </w:tcMar>
            <w:vAlign w:val="center"/>
          </w:tcPr>
          <w:p w14:paraId="2701DE26" w14:textId="77777777" w:rsidR="003E20DF" w:rsidRDefault="00F01A5C">
            <w:pPr>
              <w:keepNext/>
              <w:keepLines/>
              <w:spacing w:after="0" w:line="240" w:lineRule="auto"/>
              <w:jc w:val="right"/>
            </w:pPr>
            <w:r>
              <w:rPr>
                <w:sz w:val="18"/>
              </w:rPr>
              <w:t>99,5</w:t>
            </w:r>
          </w:p>
        </w:tc>
      </w:tr>
    </w:tbl>
    <w:p w14:paraId="50A82D44" w14:textId="77777777" w:rsidR="003E20DF" w:rsidRDefault="003E20DF">
      <w:pPr>
        <w:spacing w:after="0"/>
      </w:pPr>
    </w:p>
    <w:p w14:paraId="5EDD6048" w14:textId="77777777" w:rsidR="003E20DF" w:rsidRDefault="00F01A5C" w:rsidP="003403F4">
      <w:pPr>
        <w:jc w:val="both"/>
      </w:pPr>
      <w:r>
        <w:t>Financijska imovine na dan 31.12.2025. manja je u odnosu na 01.01. kao rezultat sljedećih promjena: </w:t>
      </w:r>
    </w:p>
    <w:p w14:paraId="6DC392C1" w14:textId="77777777" w:rsidR="003E20DF" w:rsidRDefault="003E20DF"/>
    <w:p w14:paraId="02E1E5D6" w14:textId="77777777" w:rsidR="003E20DF" w:rsidRDefault="00F01A5C">
      <w:pPr>
        <w:keepNext/>
        <w:spacing w:line="240" w:lineRule="auto"/>
        <w:jc w:val="center"/>
      </w:pPr>
      <w:r>
        <w:rPr>
          <w:sz w:val="28"/>
        </w:rPr>
        <w:lastRenderedPageBreak/>
        <w:t>Bilješka 74.</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20DF" w14:paraId="1DEBC8D8" w14:textId="77777777">
        <w:trPr>
          <w:cantSplit/>
        </w:trPr>
        <w:tc>
          <w:tcPr>
            <w:tcW w:w="700" w:type="dxa"/>
            <w:shd w:val="clear" w:color="auto" w:fill="E7F0F9"/>
            <w:tcMar>
              <w:top w:w="0" w:type="dxa"/>
              <w:bottom w:w="0" w:type="dxa"/>
            </w:tcMar>
            <w:vAlign w:val="center"/>
          </w:tcPr>
          <w:p w14:paraId="2F3AEFA0" w14:textId="77777777" w:rsidR="003E20DF" w:rsidRDefault="00F01A5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3079F67" w14:textId="77777777" w:rsidR="003E20DF" w:rsidRDefault="00F01A5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67AE777" w14:textId="77777777" w:rsidR="003E20DF" w:rsidRDefault="00F01A5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40EB126" w14:textId="77777777" w:rsidR="003E20DF" w:rsidRDefault="00F01A5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2AEE563" w14:textId="77777777" w:rsidR="003E20DF" w:rsidRDefault="00F01A5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AA2ADA2" w14:textId="77777777" w:rsidR="003E20DF" w:rsidRDefault="00F01A5C">
            <w:pPr>
              <w:keepNext/>
              <w:keepLines/>
              <w:spacing w:after="0" w:line="240" w:lineRule="auto"/>
              <w:jc w:val="center"/>
            </w:pPr>
            <w:r>
              <w:rPr>
                <w:b/>
                <w:sz w:val="18"/>
              </w:rPr>
              <w:t>Indeks (%)</w:t>
            </w:r>
          </w:p>
        </w:tc>
      </w:tr>
      <w:tr w:rsidR="003E20DF" w14:paraId="26BCD0D3" w14:textId="77777777">
        <w:trPr>
          <w:cantSplit/>
          <w:trHeight w:val="560"/>
        </w:trPr>
        <w:tc>
          <w:tcPr>
            <w:tcW w:w="700" w:type="dxa"/>
            <w:tcMar>
              <w:top w:w="0" w:type="dxa"/>
              <w:bottom w:w="0" w:type="dxa"/>
            </w:tcMar>
            <w:vAlign w:val="center"/>
          </w:tcPr>
          <w:p w14:paraId="7984B849" w14:textId="77777777" w:rsidR="003E20DF" w:rsidRDefault="00F01A5C">
            <w:pPr>
              <w:keepNext/>
              <w:keepLines/>
              <w:spacing w:after="0" w:line="240" w:lineRule="auto"/>
            </w:pPr>
            <w:r>
              <w:rPr>
                <w:sz w:val="18"/>
              </w:rPr>
              <w:t>11</w:t>
            </w:r>
          </w:p>
        </w:tc>
        <w:tc>
          <w:tcPr>
            <w:tcW w:w="3180" w:type="dxa"/>
            <w:tcMar>
              <w:top w:w="0" w:type="dxa"/>
              <w:bottom w:w="0" w:type="dxa"/>
            </w:tcMar>
            <w:vAlign w:val="center"/>
          </w:tcPr>
          <w:p w14:paraId="739EB174" w14:textId="77777777" w:rsidR="003E20DF" w:rsidRDefault="00F01A5C">
            <w:pPr>
              <w:keepNext/>
              <w:keepLines/>
              <w:spacing w:after="0" w:line="240" w:lineRule="auto"/>
            </w:pPr>
            <w:r>
              <w:rPr>
                <w:sz w:val="18"/>
              </w:rPr>
              <w:t>Novac u banci i blagajni (šifre 111+112 do 114)</w:t>
            </w:r>
          </w:p>
        </w:tc>
        <w:tc>
          <w:tcPr>
            <w:tcW w:w="700" w:type="dxa"/>
            <w:tcMar>
              <w:top w:w="0" w:type="dxa"/>
              <w:bottom w:w="0" w:type="dxa"/>
            </w:tcMar>
            <w:vAlign w:val="center"/>
          </w:tcPr>
          <w:p w14:paraId="2A0AAB26" w14:textId="77777777" w:rsidR="003E20DF" w:rsidRDefault="00F01A5C">
            <w:pPr>
              <w:keepNext/>
              <w:keepLines/>
              <w:spacing w:after="0" w:line="240" w:lineRule="auto"/>
            </w:pPr>
            <w:r>
              <w:rPr>
                <w:sz w:val="18"/>
              </w:rPr>
              <w:t>11</w:t>
            </w:r>
          </w:p>
        </w:tc>
        <w:tc>
          <w:tcPr>
            <w:tcW w:w="1860" w:type="dxa"/>
            <w:tcMar>
              <w:top w:w="0" w:type="dxa"/>
              <w:bottom w:w="0" w:type="dxa"/>
            </w:tcMar>
            <w:vAlign w:val="center"/>
          </w:tcPr>
          <w:p w14:paraId="76549BF4" w14:textId="77777777" w:rsidR="003E20DF" w:rsidRDefault="00F01A5C">
            <w:pPr>
              <w:keepNext/>
              <w:keepLines/>
              <w:spacing w:after="0" w:line="240" w:lineRule="auto"/>
              <w:jc w:val="right"/>
            </w:pPr>
            <w:r>
              <w:rPr>
                <w:sz w:val="18"/>
              </w:rPr>
              <w:t>32.515.338,20</w:t>
            </w:r>
          </w:p>
        </w:tc>
        <w:tc>
          <w:tcPr>
            <w:tcW w:w="1860" w:type="dxa"/>
            <w:tcMar>
              <w:top w:w="0" w:type="dxa"/>
              <w:bottom w:w="0" w:type="dxa"/>
            </w:tcMar>
            <w:vAlign w:val="center"/>
          </w:tcPr>
          <w:p w14:paraId="26EFE6F7" w14:textId="77777777" w:rsidR="003E20DF" w:rsidRDefault="00F01A5C">
            <w:pPr>
              <w:keepNext/>
              <w:keepLines/>
              <w:spacing w:after="0" w:line="240" w:lineRule="auto"/>
              <w:jc w:val="right"/>
            </w:pPr>
            <w:r>
              <w:rPr>
                <w:sz w:val="18"/>
              </w:rPr>
              <w:t>25.475.648,55</w:t>
            </w:r>
          </w:p>
        </w:tc>
        <w:tc>
          <w:tcPr>
            <w:tcW w:w="700" w:type="dxa"/>
            <w:tcMar>
              <w:top w:w="0" w:type="dxa"/>
              <w:bottom w:w="0" w:type="dxa"/>
            </w:tcMar>
            <w:vAlign w:val="center"/>
          </w:tcPr>
          <w:p w14:paraId="5C7C4701" w14:textId="77777777" w:rsidR="003E20DF" w:rsidRDefault="00F01A5C">
            <w:pPr>
              <w:keepNext/>
              <w:keepLines/>
              <w:spacing w:after="0" w:line="240" w:lineRule="auto"/>
              <w:jc w:val="right"/>
            </w:pPr>
            <w:r>
              <w:rPr>
                <w:sz w:val="18"/>
              </w:rPr>
              <w:t>78,3</w:t>
            </w:r>
          </w:p>
        </w:tc>
      </w:tr>
    </w:tbl>
    <w:p w14:paraId="34A3F1DD" w14:textId="77777777" w:rsidR="003E20DF" w:rsidRDefault="003E20DF">
      <w:pPr>
        <w:spacing w:after="0"/>
      </w:pPr>
    </w:p>
    <w:p w14:paraId="10828281" w14:textId="77777777" w:rsidR="003E20DF" w:rsidRDefault="00F01A5C" w:rsidP="00882057">
      <w:pPr>
        <w:ind w:firstLine="708"/>
        <w:jc w:val="both"/>
      </w:pPr>
      <w:r>
        <w:t>Novčana sredstva u banci manja su za 7.039.689,65 eura ili 21,70% i iznose 25.475.648,55 eura. Stanje novčanih sredstava odraz je naplaćenih prihoda i primitaka i plaćenih rashoda i izdataka Grada. Pri tome treba istaknuti odlično ostvarenje prihoda od poreza na dohodak, koji kontinuirano raste uslijed povećanja zaposlenosti i plaća u javnom i privatnom sektoru. </w:t>
      </w:r>
    </w:p>
    <w:p w14:paraId="79D552D2" w14:textId="77777777" w:rsidR="003E20DF" w:rsidRDefault="00F01A5C" w:rsidP="00882057">
      <w:pPr>
        <w:ind w:firstLine="708"/>
        <w:jc w:val="both"/>
      </w:pPr>
      <w:r>
        <w:t>S druge strane Grad se u 2025. nije kreditno zaduživao, a ostvarenje bespovratnih sredstava Europskih fondova nije na razini izvršenih rashoda za predmetne projekte. Rashodi su rasli sukladno zakonskim i ugovornim obvezama, što je utjecalo na povećano izdvajanje financijskih sredstava za cjelokupni gradski sustav (Gradska uprava, trgovačka društva i proračunski korisnici).</w:t>
      </w:r>
    </w:p>
    <w:p w14:paraId="07D738D4" w14:textId="77777777" w:rsidR="003E20DF" w:rsidRDefault="00F01A5C" w:rsidP="00882057">
      <w:pPr>
        <w:ind w:firstLine="708"/>
        <w:jc w:val="both"/>
      </w:pPr>
      <w:r>
        <w:t>U novčanim sredstvima na dan 31.12.2025. su sadržana sredstva za podmirenje kratkoročnih obveza prema dobavljačima koje dospijevaju početkom 2026., sredstva temeljem uplaćenih depozita i jamčevina  kao i naplaćeni, a neutrošeni namjenski prihodi. Na račun Grada uplaćena su i novčana sredstva proračunskih korisnika, obzirom da Grad Osijek od 1.1.2023. posluje putem pune riznice. Ista na dan 31.12.2025. iznose 3.068.824,04 eura.  </w:t>
      </w:r>
    </w:p>
    <w:p w14:paraId="66ABDE47" w14:textId="77777777" w:rsidR="003E20DF" w:rsidRDefault="00F01A5C" w:rsidP="00882057">
      <w:pPr>
        <w:ind w:firstLine="708"/>
        <w:jc w:val="both"/>
      </w:pPr>
      <w:r>
        <w:t>Vidljivo je da Grad nije imao problema  likvidnosti te da je nastavljeno odgovorno upravljanje rashodima Grada koji su trošeni u skladu s ostvarenim prihodima.</w:t>
      </w:r>
    </w:p>
    <w:p w14:paraId="6A7B2BA6" w14:textId="77777777" w:rsidR="003E20DF" w:rsidRDefault="003E20DF"/>
    <w:p w14:paraId="124661B0" w14:textId="77777777" w:rsidR="003E20DF" w:rsidRDefault="00F01A5C">
      <w:pPr>
        <w:keepNext/>
        <w:spacing w:line="240" w:lineRule="auto"/>
        <w:jc w:val="center"/>
      </w:pPr>
      <w:r>
        <w:rPr>
          <w:sz w:val="28"/>
        </w:rPr>
        <w:t>Bilješka 75.</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20DF" w14:paraId="025149D3" w14:textId="77777777">
        <w:trPr>
          <w:cantSplit/>
        </w:trPr>
        <w:tc>
          <w:tcPr>
            <w:tcW w:w="700" w:type="dxa"/>
            <w:shd w:val="clear" w:color="auto" w:fill="E7F0F9"/>
            <w:tcMar>
              <w:top w:w="0" w:type="dxa"/>
              <w:bottom w:w="0" w:type="dxa"/>
            </w:tcMar>
            <w:vAlign w:val="center"/>
          </w:tcPr>
          <w:p w14:paraId="311E635F" w14:textId="77777777" w:rsidR="003E20DF" w:rsidRDefault="00F01A5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5D70375" w14:textId="77777777" w:rsidR="003E20DF" w:rsidRDefault="00F01A5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4AC9870" w14:textId="77777777" w:rsidR="003E20DF" w:rsidRDefault="00F01A5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C60E11E" w14:textId="77777777" w:rsidR="003E20DF" w:rsidRDefault="00F01A5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BA93356" w14:textId="77777777" w:rsidR="003E20DF" w:rsidRDefault="00F01A5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5233267" w14:textId="77777777" w:rsidR="003E20DF" w:rsidRDefault="00F01A5C">
            <w:pPr>
              <w:keepNext/>
              <w:keepLines/>
              <w:spacing w:after="0" w:line="240" w:lineRule="auto"/>
              <w:jc w:val="center"/>
            </w:pPr>
            <w:r>
              <w:rPr>
                <w:b/>
                <w:sz w:val="18"/>
              </w:rPr>
              <w:t>Indeks (%)</w:t>
            </w:r>
          </w:p>
        </w:tc>
      </w:tr>
      <w:tr w:rsidR="003E20DF" w14:paraId="4A6B6C85" w14:textId="77777777">
        <w:trPr>
          <w:cantSplit/>
          <w:trHeight w:val="560"/>
        </w:trPr>
        <w:tc>
          <w:tcPr>
            <w:tcW w:w="700" w:type="dxa"/>
            <w:tcMar>
              <w:top w:w="0" w:type="dxa"/>
              <w:bottom w:w="0" w:type="dxa"/>
            </w:tcMar>
            <w:vAlign w:val="center"/>
          </w:tcPr>
          <w:p w14:paraId="0389E42B" w14:textId="77777777" w:rsidR="003E20DF" w:rsidRDefault="00F01A5C">
            <w:pPr>
              <w:keepNext/>
              <w:keepLines/>
              <w:spacing w:after="0" w:line="240" w:lineRule="auto"/>
            </w:pPr>
            <w:r>
              <w:rPr>
                <w:sz w:val="18"/>
              </w:rPr>
              <w:t>12</w:t>
            </w:r>
          </w:p>
        </w:tc>
        <w:tc>
          <w:tcPr>
            <w:tcW w:w="3180" w:type="dxa"/>
            <w:tcMar>
              <w:top w:w="0" w:type="dxa"/>
              <w:bottom w:w="0" w:type="dxa"/>
            </w:tcMar>
            <w:vAlign w:val="center"/>
          </w:tcPr>
          <w:p w14:paraId="5C030829" w14:textId="77777777" w:rsidR="003E20DF" w:rsidRDefault="00F01A5C">
            <w:pPr>
              <w:keepNext/>
              <w:keepLines/>
              <w:spacing w:after="0" w:line="240" w:lineRule="auto"/>
            </w:pPr>
            <w:r>
              <w:rPr>
                <w:sz w:val="18"/>
              </w:rPr>
              <w:t>Potraživanja za jamčevne pologe, od zaposlenih te za više plaćene poreze i ostalo (šifre 122 do 124 - 125 + 129)</w:t>
            </w:r>
          </w:p>
        </w:tc>
        <w:tc>
          <w:tcPr>
            <w:tcW w:w="700" w:type="dxa"/>
            <w:tcMar>
              <w:top w:w="0" w:type="dxa"/>
              <w:bottom w:w="0" w:type="dxa"/>
            </w:tcMar>
            <w:vAlign w:val="center"/>
          </w:tcPr>
          <w:p w14:paraId="7B5CE2C0" w14:textId="77777777" w:rsidR="003E20DF" w:rsidRDefault="00F01A5C">
            <w:pPr>
              <w:keepNext/>
              <w:keepLines/>
              <w:spacing w:after="0" w:line="240" w:lineRule="auto"/>
            </w:pPr>
            <w:r>
              <w:rPr>
                <w:sz w:val="18"/>
              </w:rPr>
              <w:t>12</w:t>
            </w:r>
          </w:p>
        </w:tc>
        <w:tc>
          <w:tcPr>
            <w:tcW w:w="1860" w:type="dxa"/>
            <w:tcMar>
              <w:top w:w="0" w:type="dxa"/>
              <w:bottom w:w="0" w:type="dxa"/>
            </w:tcMar>
            <w:vAlign w:val="center"/>
          </w:tcPr>
          <w:p w14:paraId="3573D6D0" w14:textId="77777777" w:rsidR="003E20DF" w:rsidRDefault="00F01A5C">
            <w:pPr>
              <w:keepNext/>
              <w:keepLines/>
              <w:spacing w:after="0" w:line="240" w:lineRule="auto"/>
              <w:jc w:val="right"/>
            </w:pPr>
            <w:r>
              <w:rPr>
                <w:sz w:val="18"/>
              </w:rPr>
              <w:t>290.746,49</w:t>
            </w:r>
          </w:p>
        </w:tc>
        <w:tc>
          <w:tcPr>
            <w:tcW w:w="1860" w:type="dxa"/>
            <w:tcMar>
              <w:top w:w="0" w:type="dxa"/>
              <w:bottom w:w="0" w:type="dxa"/>
            </w:tcMar>
            <w:vAlign w:val="center"/>
          </w:tcPr>
          <w:p w14:paraId="3804B52A" w14:textId="77777777" w:rsidR="003E20DF" w:rsidRDefault="00F01A5C">
            <w:pPr>
              <w:keepNext/>
              <w:keepLines/>
              <w:spacing w:after="0" w:line="240" w:lineRule="auto"/>
              <w:jc w:val="right"/>
            </w:pPr>
            <w:r>
              <w:rPr>
                <w:sz w:val="18"/>
              </w:rPr>
              <w:t>264.180,09</w:t>
            </w:r>
          </w:p>
        </w:tc>
        <w:tc>
          <w:tcPr>
            <w:tcW w:w="700" w:type="dxa"/>
            <w:tcMar>
              <w:top w:w="0" w:type="dxa"/>
              <w:bottom w:w="0" w:type="dxa"/>
            </w:tcMar>
            <w:vAlign w:val="center"/>
          </w:tcPr>
          <w:p w14:paraId="27A6F0AA" w14:textId="77777777" w:rsidR="003E20DF" w:rsidRDefault="00F01A5C">
            <w:pPr>
              <w:keepNext/>
              <w:keepLines/>
              <w:spacing w:after="0" w:line="240" w:lineRule="auto"/>
              <w:jc w:val="right"/>
            </w:pPr>
            <w:r>
              <w:rPr>
                <w:sz w:val="18"/>
              </w:rPr>
              <w:t>90,9</w:t>
            </w:r>
          </w:p>
        </w:tc>
      </w:tr>
    </w:tbl>
    <w:p w14:paraId="162EFE17" w14:textId="77777777" w:rsidR="003E20DF" w:rsidRDefault="003E20DF">
      <w:pPr>
        <w:spacing w:after="0"/>
      </w:pPr>
    </w:p>
    <w:p w14:paraId="23D66EAE" w14:textId="77777777" w:rsidR="003E20DF" w:rsidRDefault="00F01A5C" w:rsidP="00882057">
      <w:pPr>
        <w:ind w:firstLine="708"/>
        <w:jc w:val="both"/>
      </w:pPr>
      <w:r>
        <w:t>Smanjenje u okviru ove šifre je vezano za zatvaranje potraživanja za bolovanje preko 42 dana, Grad je predfinancirao troškove bolovanja za proračunske korisnike iz vlastitih sredstava, te je povrat istih evidentiran na novčanim sredstvima Grada kao i zatvaranje predujmova iz prethodnih godina.</w:t>
      </w:r>
    </w:p>
    <w:p w14:paraId="7460D722" w14:textId="77777777" w:rsidR="003E20DF" w:rsidRDefault="003E20DF"/>
    <w:p w14:paraId="422A2FF5" w14:textId="77777777" w:rsidR="003E20DF" w:rsidRDefault="00F01A5C">
      <w:pPr>
        <w:keepNext/>
        <w:spacing w:line="240" w:lineRule="auto"/>
        <w:jc w:val="center"/>
      </w:pPr>
      <w:r>
        <w:rPr>
          <w:sz w:val="28"/>
        </w:rPr>
        <w:lastRenderedPageBreak/>
        <w:t>Bilješka 76.</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20DF" w14:paraId="59B05BEC" w14:textId="77777777">
        <w:trPr>
          <w:cantSplit/>
        </w:trPr>
        <w:tc>
          <w:tcPr>
            <w:tcW w:w="700" w:type="dxa"/>
            <w:shd w:val="clear" w:color="auto" w:fill="E7F0F9"/>
            <w:tcMar>
              <w:top w:w="0" w:type="dxa"/>
              <w:bottom w:w="0" w:type="dxa"/>
            </w:tcMar>
            <w:vAlign w:val="center"/>
          </w:tcPr>
          <w:p w14:paraId="677EA68A" w14:textId="77777777" w:rsidR="003E20DF" w:rsidRDefault="00F01A5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0C7E27D" w14:textId="77777777" w:rsidR="003E20DF" w:rsidRDefault="00F01A5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F488D89" w14:textId="77777777" w:rsidR="003E20DF" w:rsidRDefault="00F01A5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D6A761E" w14:textId="77777777" w:rsidR="003E20DF" w:rsidRDefault="00F01A5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8424ED4" w14:textId="77777777" w:rsidR="003E20DF" w:rsidRDefault="00F01A5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2D6E8DF" w14:textId="77777777" w:rsidR="003E20DF" w:rsidRDefault="00F01A5C">
            <w:pPr>
              <w:keepNext/>
              <w:keepLines/>
              <w:spacing w:after="0" w:line="240" w:lineRule="auto"/>
              <w:jc w:val="center"/>
            </w:pPr>
            <w:r>
              <w:rPr>
                <w:b/>
                <w:sz w:val="18"/>
              </w:rPr>
              <w:t>Indeks (%)</w:t>
            </w:r>
          </w:p>
        </w:tc>
      </w:tr>
      <w:tr w:rsidR="003E20DF" w14:paraId="10E9CA73" w14:textId="77777777">
        <w:trPr>
          <w:cantSplit/>
          <w:trHeight w:val="560"/>
        </w:trPr>
        <w:tc>
          <w:tcPr>
            <w:tcW w:w="700" w:type="dxa"/>
            <w:tcMar>
              <w:top w:w="0" w:type="dxa"/>
              <w:bottom w:w="0" w:type="dxa"/>
            </w:tcMar>
            <w:vAlign w:val="center"/>
          </w:tcPr>
          <w:p w14:paraId="5DC34D51" w14:textId="77777777" w:rsidR="003E20DF" w:rsidRDefault="00F01A5C">
            <w:pPr>
              <w:keepNext/>
              <w:keepLines/>
              <w:spacing w:after="0" w:line="240" w:lineRule="auto"/>
            </w:pPr>
            <w:r>
              <w:rPr>
                <w:sz w:val="18"/>
              </w:rPr>
              <w:t>15</w:t>
            </w:r>
          </w:p>
        </w:tc>
        <w:tc>
          <w:tcPr>
            <w:tcW w:w="3180" w:type="dxa"/>
            <w:tcMar>
              <w:top w:w="0" w:type="dxa"/>
              <w:bottom w:w="0" w:type="dxa"/>
            </w:tcMar>
            <w:vAlign w:val="center"/>
          </w:tcPr>
          <w:p w14:paraId="2879FB70" w14:textId="77777777" w:rsidR="003E20DF" w:rsidRDefault="00F01A5C">
            <w:pPr>
              <w:keepNext/>
              <w:keepLines/>
              <w:spacing w:after="0" w:line="240" w:lineRule="auto"/>
            </w:pPr>
            <w:r>
              <w:rPr>
                <w:sz w:val="18"/>
              </w:rPr>
              <w:t>Financijski instrumenti - dionice i udjeli u glavnici (šifre 15X1+15X2-159)</w:t>
            </w:r>
          </w:p>
        </w:tc>
        <w:tc>
          <w:tcPr>
            <w:tcW w:w="700" w:type="dxa"/>
            <w:tcMar>
              <w:top w:w="0" w:type="dxa"/>
              <w:bottom w:w="0" w:type="dxa"/>
            </w:tcMar>
            <w:vAlign w:val="center"/>
          </w:tcPr>
          <w:p w14:paraId="6AAFB773" w14:textId="77777777" w:rsidR="003E20DF" w:rsidRDefault="00F01A5C">
            <w:pPr>
              <w:keepNext/>
              <w:keepLines/>
              <w:spacing w:after="0" w:line="240" w:lineRule="auto"/>
            </w:pPr>
            <w:r>
              <w:rPr>
                <w:sz w:val="18"/>
              </w:rPr>
              <w:t>15</w:t>
            </w:r>
          </w:p>
        </w:tc>
        <w:tc>
          <w:tcPr>
            <w:tcW w:w="1860" w:type="dxa"/>
            <w:tcMar>
              <w:top w:w="0" w:type="dxa"/>
              <w:bottom w:w="0" w:type="dxa"/>
            </w:tcMar>
            <w:vAlign w:val="center"/>
          </w:tcPr>
          <w:p w14:paraId="721DA6B8" w14:textId="77777777" w:rsidR="003E20DF" w:rsidRDefault="00F01A5C">
            <w:pPr>
              <w:keepNext/>
              <w:keepLines/>
              <w:spacing w:after="0" w:line="240" w:lineRule="auto"/>
              <w:jc w:val="right"/>
            </w:pPr>
            <w:r>
              <w:rPr>
                <w:sz w:val="18"/>
              </w:rPr>
              <w:t>65.568.491,14</w:t>
            </w:r>
          </w:p>
        </w:tc>
        <w:tc>
          <w:tcPr>
            <w:tcW w:w="1860" w:type="dxa"/>
            <w:tcMar>
              <w:top w:w="0" w:type="dxa"/>
              <w:bottom w:w="0" w:type="dxa"/>
            </w:tcMar>
            <w:vAlign w:val="center"/>
          </w:tcPr>
          <w:p w14:paraId="7691C8EB" w14:textId="77777777" w:rsidR="003E20DF" w:rsidRDefault="00F01A5C">
            <w:pPr>
              <w:keepNext/>
              <w:keepLines/>
              <w:spacing w:after="0" w:line="240" w:lineRule="auto"/>
              <w:jc w:val="right"/>
            </w:pPr>
            <w:r>
              <w:rPr>
                <w:sz w:val="18"/>
              </w:rPr>
              <w:t>67.518.797,33</w:t>
            </w:r>
          </w:p>
        </w:tc>
        <w:tc>
          <w:tcPr>
            <w:tcW w:w="700" w:type="dxa"/>
            <w:tcMar>
              <w:top w:w="0" w:type="dxa"/>
              <w:bottom w:w="0" w:type="dxa"/>
            </w:tcMar>
            <w:vAlign w:val="center"/>
          </w:tcPr>
          <w:p w14:paraId="51D5C4C0" w14:textId="77777777" w:rsidR="003E20DF" w:rsidRDefault="00F01A5C">
            <w:pPr>
              <w:keepNext/>
              <w:keepLines/>
              <w:spacing w:after="0" w:line="240" w:lineRule="auto"/>
              <w:jc w:val="right"/>
            </w:pPr>
            <w:r>
              <w:rPr>
                <w:sz w:val="18"/>
              </w:rPr>
              <w:t>103,0</w:t>
            </w:r>
          </w:p>
        </w:tc>
      </w:tr>
    </w:tbl>
    <w:p w14:paraId="7408694D" w14:textId="77777777" w:rsidR="003E20DF" w:rsidRDefault="003E20DF">
      <w:pPr>
        <w:spacing w:after="0"/>
      </w:pPr>
    </w:p>
    <w:p w14:paraId="01BCB2C7" w14:textId="77777777" w:rsidR="003E20DF" w:rsidRDefault="00F01A5C" w:rsidP="003403F4">
      <w:pPr>
        <w:jc w:val="both"/>
      </w:pPr>
      <w:r>
        <w:t>Promijene u okviru ove šifre vezane su  za dokapitalizaciju društva Gradski prijevoz putnika d.o.o. u iznosu 2.000.000,00 eura.</w:t>
      </w:r>
    </w:p>
    <w:p w14:paraId="3F231CE3" w14:textId="77777777" w:rsidR="003E20DF" w:rsidRDefault="003E20DF"/>
    <w:p w14:paraId="41180AD5" w14:textId="77777777" w:rsidR="003E20DF" w:rsidRDefault="00F01A5C">
      <w:pPr>
        <w:keepNext/>
        <w:spacing w:line="240" w:lineRule="auto"/>
        <w:jc w:val="center"/>
      </w:pPr>
      <w:r>
        <w:rPr>
          <w:sz w:val="28"/>
        </w:rPr>
        <w:t>Bilješka 77.</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20DF" w14:paraId="6EFFE216" w14:textId="77777777">
        <w:trPr>
          <w:cantSplit/>
        </w:trPr>
        <w:tc>
          <w:tcPr>
            <w:tcW w:w="700" w:type="dxa"/>
            <w:shd w:val="clear" w:color="auto" w:fill="E7F0F9"/>
            <w:tcMar>
              <w:top w:w="0" w:type="dxa"/>
              <w:bottom w:w="0" w:type="dxa"/>
            </w:tcMar>
            <w:vAlign w:val="center"/>
          </w:tcPr>
          <w:p w14:paraId="52645A1B" w14:textId="77777777" w:rsidR="003E20DF" w:rsidRDefault="00F01A5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EE197A5" w14:textId="77777777" w:rsidR="003E20DF" w:rsidRDefault="00F01A5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F838CFA" w14:textId="77777777" w:rsidR="003E20DF" w:rsidRDefault="00F01A5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4C42C5C" w14:textId="77777777" w:rsidR="003E20DF" w:rsidRDefault="00F01A5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4E6A196" w14:textId="77777777" w:rsidR="003E20DF" w:rsidRDefault="00F01A5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ED1BB01" w14:textId="77777777" w:rsidR="003E20DF" w:rsidRDefault="00F01A5C">
            <w:pPr>
              <w:keepNext/>
              <w:keepLines/>
              <w:spacing w:after="0" w:line="240" w:lineRule="auto"/>
              <w:jc w:val="center"/>
            </w:pPr>
            <w:r>
              <w:rPr>
                <w:b/>
                <w:sz w:val="18"/>
              </w:rPr>
              <w:t>Indeks (%)</w:t>
            </w:r>
          </w:p>
        </w:tc>
      </w:tr>
      <w:tr w:rsidR="003E20DF" w14:paraId="566EE609" w14:textId="77777777">
        <w:trPr>
          <w:cantSplit/>
          <w:trHeight w:val="560"/>
        </w:trPr>
        <w:tc>
          <w:tcPr>
            <w:tcW w:w="700" w:type="dxa"/>
            <w:tcMar>
              <w:top w:w="0" w:type="dxa"/>
              <w:bottom w:w="0" w:type="dxa"/>
            </w:tcMar>
            <w:vAlign w:val="center"/>
          </w:tcPr>
          <w:p w14:paraId="69916631" w14:textId="77777777" w:rsidR="003E20DF" w:rsidRDefault="00F01A5C">
            <w:pPr>
              <w:keepNext/>
              <w:keepLines/>
              <w:spacing w:after="0" w:line="240" w:lineRule="auto"/>
            </w:pPr>
            <w:r>
              <w:rPr>
                <w:sz w:val="18"/>
              </w:rPr>
              <w:t>161</w:t>
            </w:r>
          </w:p>
        </w:tc>
        <w:tc>
          <w:tcPr>
            <w:tcW w:w="3180" w:type="dxa"/>
            <w:tcMar>
              <w:top w:w="0" w:type="dxa"/>
              <w:bottom w:w="0" w:type="dxa"/>
            </w:tcMar>
            <w:vAlign w:val="center"/>
          </w:tcPr>
          <w:p w14:paraId="0A0A5DEA" w14:textId="77777777" w:rsidR="003E20DF" w:rsidRDefault="00F01A5C">
            <w:pPr>
              <w:keepNext/>
              <w:keepLines/>
              <w:spacing w:after="0" w:line="240" w:lineRule="auto"/>
            </w:pPr>
            <w:r>
              <w:rPr>
                <w:sz w:val="18"/>
              </w:rPr>
              <w:t>Potraživanja za poreze</w:t>
            </w:r>
          </w:p>
        </w:tc>
        <w:tc>
          <w:tcPr>
            <w:tcW w:w="700" w:type="dxa"/>
            <w:tcMar>
              <w:top w:w="0" w:type="dxa"/>
              <w:bottom w:w="0" w:type="dxa"/>
            </w:tcMar>
            <w:vAlign w:val="center"/>
          </w:tcPr>
          <w:p w14:paraId="4AC19401" w14:textId="77777777" w:rsidR="003E20DF" w:rsidRDefault="00F01A5C">
            <w:pPr>
              <w:keepNext/>
              <w:keepLines/>
              <w:spacing w:after="0" w:line="240" w:lineRule="auto"/>
            </w:pPr>
            <w:r>
              <w:rPr>
                <w:sz w:val="18"/>
              </w:rPr>
              <w:t>161</w:t>
            </w:r>
          </w:p>
        </w:tc>
        <w:tc>
          <w:tcPr>
            <w:tcW w:w="1860" w:type="dxa"/>
            <w:tcMar>
              <w:top w:w="0" w:type="dxa"/>
              <w:bottom w:w="0" w:type="dxa"/>
            </w:tcMar>
            <w:vAlign w:val="center"/>
          </w:tcPr>
          <w:p w14:paraId="7F57B477" w14:textId="77777777" w:rsidR="003E20DF" w:rsidRDefault="00F01A5C">
            <w:pPr>
              <w:keepNext/>
              <w:keepLines/>
              <w:spacing w:after="0" w:line="240" w:lineRule="auto"/>
              <w:jc w:val="right"/>
            </w:pPr>
            <w:r>
              <w:rPr>
                <w:sz w:val="18"/>
              </w:rPr>
              <w:t>569.823,37</w:t>
            </w:r>
          </w:p>
        </w:tc>
        <w:tc>
          <w:tcPr>
            <w:tcW w:w="1860" w:type="dxa"/>
            <w:tcMar>
              <w:top w:w="0" w:type="dxa"/>
              <w:bottom w:w="0" w:type="dxa"/>
            </w:tcMar>
            <w:vAlign w:val="center"/>
          </w:tcPr>
          <w:p w14:paraId="62B32BB8" w14:textId="77777777" w:rsidR="003E20DF" w:rsidRDefault="00F01A5C">
            <w:pPr>
              <w:keepNext/>
              <w:keepLines/>
              <w:spacing w:after="0" w:line="240" w:lineRule="auto"/>
              <w:jc w:val="right"/>
            </w:pPr>
            <w:r>
              <w:rPr>
                <w:sz w:val="18"/>
              </w:rPr>
              <w:t>839.622,66</w:t>
            </w:r>
          </w:p>
        </w:tc>
        <w:tc>
          <w:tcPr>
            <w:tcW w:w="700" w:type="dxa"/>
            <w:tcMar>
              <w:top w:w="0" w:type="dxa"/>
              <w:bottom w:w="0" w:type="dxa"/>
            </w:tcMar>
            <w:vAlign w:val="center"/>
          </w:tcPr>
          <w:p w14:paraId="0EA120AB" w14:textId="77777777" w:rsidR="003E20DF" w:rsidRDefault="00F01A5C">
            <w:pPr>
              <w:keepNext/>
              <w:keepLines/>
              <w:spacing w:after="0" w:line="240" w:lineRule="auto"/>
              <w:jc w:val="right"/>
            </w:pPr>
            <w:r>
              <w:rPr>
                <w:sz w:val="18"/>
              </w:rPr>
              <w:t>147,3</w:t>
            </w:r>
          </w:p>
        </w:tc>
      </w:tr>
    </w:tbl>
    <w:p w14:paraId="777BBDA9" w14:textId="77777777" w:rsidR="003E20DF" w:rsidRDefault="003E20DF">
      <w:pPr>
        <w:spacing w:after="0"/>
      </w:pPr>
    </w:p>
    <w:p w14:paraId="6127E6CA" w14:textId="77777777" w:rsidR="003E20DF" w:rsidRDefault="00F01A5C" w:rsidP="00882057">
      <w:pPr>
        <w:ind w:firstLine="708"/>
        <w:jc w:val="both"/>
      </w:pPr>
      <w:r>
        <w:t>Rast potraživanja u okviru ove šifre vezan je za porez na promet nekretnina za koji obračun i naplatu vodi Porezna uprava, a u cijelosti je prihod Grada. Potraživanja s osnova poreza na nekretnine iznose samo 6.875,42 eura uslijed malog broja izdanih rješenja. Proces utvrđivanja obveznika složen je i dugotrajan, veća naplata s ovog osnova očekuje se u narednim godinama.</w:t>
      </w:r>
    </w:p>
    <w:p w14:paraId="52CDD0E3" w14:textId="77777777" w:rsidR="003E20DF" w:rsidRDefault="003E20DF"/>
    <w:p w14:paraId="3CD377D2" w14:textId="77777777" w:rsidR="003E20DF" w:rsidRDefault="00F01A5C">
      <w:pPr>
        <w:keepNext/>
        <w:spacing w:line="240" w:lineRule="auto"/>
        <w:jc w:val="center"/>
      </w:pPr>
      <w:r>
        <w:rPr>
          <w:sz w:val="28"/>
        </w:rPr>
        <w:t>Bilješka 78.</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20DF" w14:paraId="78191509" w14:textId="77777777">
        <w:trPr>
          <w:cantSplit/>
        </w:trPr>
        <w:tc>
          <w:tcPr>
            <w:tcW w:w="700" w:type="dxa"/>
            <w:shd w:val="clear" w:color="auto" w:fill="E7F0F9"/>
            <w:tcMar>
              <w:top w:w="0" w:type="dxa"/>
              <w:bottom w:w="0" w:type="dxa"/>
            </w:tcMar>
            <w:vAlign w:val="center"/>
          </w:tcPr>
          <w:p w14:paraId="17A88796" w14:textId="77777777" w:rsidR="003E20DF" w:rsidRDefault="00F01A5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766463B" w14:textId="77777777" w:rsidR="003E20DF" w:rsidRDefault="00F01A5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9A11CDF" w14:textId="77777777" w:rsidR="003E20DF" w:rsidRDefault="00F01A5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4DD963D" w14:textId="77777777" w:rsidR="003E20DF" w:rsidRDefault="00F01A5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3D98C56" w14:textId="77777777" w:rsidR="003E20DF" w:rsidRDefault="00F01A5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BE9817A" w14:textId="77777777" w:rsidR="003E20DF" w:rsidRDefault="00F01A5C">
            <w:pPr>
              <w:keepNext/>
              <w:keepLines/>
              <w:spacing w:after="0" w:line="240" w:lineRule="auto"/>
              <w:jc w:val="center"/>
            </w:pPr>
            <w:r>
              <w:rPr>
                <w:b/>
                <w:sz w:val="18"/>
              </w:rPr>
              <w:t>Indeks (%)</w:t>
            </w:r>
          </w:p>
        </w:tc>
      </w:tr>
      <w:tr w:rsidR="003E20DF" w14:paraId="7837DABE" w14:textId="77777777">
        <w:trPr>
          <w:cantSplit/>
          <w:trHeight w:val="560"/>
        </w:trPr>
        <w:tc>
          <w:tcPr>
            <w:tcW w:w="700" w:type="dxa"/>
            <w:tcMar>
              <w:top w:w="0" w:type="dxa"/>
              <w:bottom w:w="0" w:type="dxa"/>
            </w:tcMar>
            <w:vAlign w:val="center"/>
          </w:tcPr>
          <w:p w14:paraId="7548F3E0" w14:textId="77777777" w:rsidR="003E20DF" w:rsidRDefault="00F01A5C">
            <w:pPr>
              <w:keepNext/>
              <w:keepLines/>
              <w:spacing w:after="0" w:line="240" w:lineRule="auto"/>
            </w:pPr>
            <w:r>
              <w:rPr>
                <w:sz w:val="18"/>
              </w:rPr>
              <w:t>163</w:t>
            </w:r>
          </w:p>
        </w:tc>
        <w:tc>
          <w:tcPr>
            <w:tcW w:w="3180" w:type="dxa"/>
            <w:tcMar>
              <w:top w:w="0" w:type="dxa"/>
              <w:bottom w:w="0" w:type="dxa"/>
            </w:tcMar>
            <w:vAlign w:val="center"/>
          </w:tcPr>
          <w:p w14:paraId="0AC0D117" w14:textId="77777777" w:rsidR="003E20DF" w:rsidRDefault="00F01A5C">
            <w:pPr>
              <w:keepNext/>
              <w:keepLines/>
              <w:spacing w:after="0" w:line="240" w:lineRule="auto"/>
            </w:pPr>
            <w:r>
              <w:rPr>
                <w:sz w:val="18"/>
              </w:rPr>
              <w:t>Potraživanja za pomoći iz inozemstva i od subjekata unutar općeg proračuna (šifre 1631 do 1638)</w:t>
            </w:r>
          </w:p>
        </w:tc>
        <w:tc>
          <w:tcPr>
            <w:tcW w:w="700" w:type="dxa"/>
            <w:tcMar>
              <w:top w:w="0" w:type="dxa"/>
              <w:bottom w:w="0" w:type="dxa"/>
            </w:tcMar>
            <w:vAlign w:val="center"/>
          </w:tcPr>
          <w:p w14:paraId="22220472" w14:textId="77777777" w:rsidR="003E20DF" w:rsidRDefault="00F01A5C">
            <w:pPr>
              <w:keepNext/>
              <w:keepLines/>
              <w:spacing w:after="0" w:line="240" w:lineRule="auto"/>
            </w:pPr>
            <w:r>
              <w:rPr>
                <w:sz w:val="18"/>
              </w:rPr>
              <w:t>163</w:t>
            </w:r>
          </w:p>
        </w:tc>
        <w:tc>
          <w:tcPr>
            <w:tcW w:w="1860" w:type="dxa"/>
            <w:tcMar>
              <w:top w:w="0" w:type="dxa"/>
              <w:bottom w:w="0" w:type="dxa"/>
            </w:tcMar>
            <w:vAlign w:val="center"/>
          </w:tcPr>
          <w:p w14:paraId="0E115FE2" w14:textId="77777777" w:rsidR="003E20DF" w:rsidRDefault="00F01A5C">
            <w:pPr>
              <w:keepNext/>
              <w:keepLines/>
              <w:spacing w:after="0" w:line="240" w:lineRule="auto"/>
              <w:jc w:val="right"/>
            </w:pPr>
            <w:r>
              <w:rPr>
                <w:sz w:val="18"/>
              </w:rPr>
              <w:t>88.994,67</w:t>
            </w:r>
          </w:p>
        </w:tc>
        <w:tc>
          <w:tcPr>
            <w:tcW w:w="1860" w:type="dxa"/>
            <w:tcMar>
              <w:top w:w="0" w:type="dxa"/>
              <w:bottom w:w="0" w:type="dxa"/>
            </w:tcMar>
            <w:vAlign w:val="center"/>
          </w:tcPr>
          <w:p w14:paraId="4B982C1B" w14:textId="77777777" w:rsidR="003E20DF" w:rsidRDefault="00F01A5C">
            <w:pPr>
              <w:keepNext/>
              <w:keepLines/>
              <w:spacing w:after="0" w:line="240" w:lineRule="auto"/>
              <w:jc w:val="right"/>
            </w:pPr>
            <w:r>
              <w:rPr>
                <w:sz w:val="18"/>
              </w:rPr>
              <w:t>3.195.137,83</w:t>
            </w:r>
          </w:p>
        </w:tc>
        <w:tc>
          <w:tcPr>
            <w:tcW w:w="700" w:type="dxa"/>
            <w:tcMar>
              <w:top w:w="0" w:type="dxa"/>
              <w:bottom w:w="0" w:type="dxa"/>
            </w:tcMar>
            <w:vAlign w:val="center"/>
          </w:tcPr>
          <w:p w14:paraId="27E0DAD5" w14:textId="77777777" w:rsidR="003E20DF" w:rsidRDefault="00F01A5C">
            <w:pPr>
              <w:keepNext/>
              <w:keepLines/>
              <w:spacing w:after="0" w:line="240" w:lineRule="auto"/>
              <w:jc w:val="right"/>
            </w:pPr>
            <w:r>
              <w:rPr>
                <w:sz w:val="18"/>
              </w:rPr>
              <w:t>3590,3</w:t>
            </w:r>
          </w:p>
        </w:tc>
      </w:tr>
    </w:tbl>
    <w:p w14:paraId="11CFA22A" w14:textId="77777777" w:rsidR="003E20DF" w:rsidRDefault="003E20DF">
      <w:pPr>
        <w:spacing w:after="0"/>
      </w:pPr>
    </w:p>
    <w:p w14:paraId="658CD18A" w14:textId="77777777" w:rsidR="003E20DF" w:rsidRDefault="00F01A5C" w:rsidP="00882057">
      <w:pPr>
        <w:ind w:firstLine="708"/>
        <w:jc w:val="both"/>
      </w:pPr>
      <w:r>
        <w:t>U okviru ove šifre evidentirana su potraživanja za bespovratna sredstva EU i pomoći iz Državnog proračuna.</w:t>
      </w:r>
    </w:p>
    <w:p w14:paraId="664F8262" w14:textId="77777777" w:rsidR="003E20DF" w:rsidRDefault="00F01A5C" w:rsidP="00882057">
      <w:pPr>
        <w:ind w:firstLine="708"/>
        <w:jc w:val="both"/>
      </w:pPr>
      <w:r>
        <w:t>Najznačajniji iznosi vezani su za projekte izgradnje četiri dionice biciklističkih staza u iznosu 1.316.605,12 eura i uređenje kupališta Copacabana u iznosu 1.106.871,48 eura, projekte sufinancirane sredstvima ITU mehanizma. Iskazana su i potraživanja temeljem zahtjeva za nadoknadu sredstava za projekte Osigurajmo im jednakost u iznosu 495.000,00 eura, fiskalna održivost dječjih vrtića u iznosu 163.517,31  eura i dr.</w:t>
      </w:r>
    </w:p>
    <w:p w14:paraId="1349CEFC" w14:textId="77777777" w:rsidR="003E20DF" w:rsidRDefault="003E20DF"/>
    <w:p w14:paraId="119643CF" w14:textId="77777777" w:rsidR="003E20DF" w:rsidRDefault="00F01A5C">
      <w:pPr>
        <w:keepNext/>
        <w:spacing w:line="240" w:lineRule="auto"/>
        <w:jc w:val="center"/>
      </w:pPr>
      <w:r>
        <w:rPr>
          <w:sz w:val="28"/>
        </w:rPr>
        <w:lastRenderedPageBreak/>
        <w:t>Bilješka 79.</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20DF" w14:paraId="1584233B" w14:textId="77777777">
        <w:trPr>
          <w:cantSplit/>
        </w:trPr>
        <w:tc>
          <w:tcPr>
            <w:tcW w:w="700" w:type="dxa"/>
            <w:shd w:val="clear" w:color="auto" w:fill="E7F0F9"/>
            <w:tcMar>
              <w:top w:w="0" w:type="dxa"/>
              <w:bottom w:w="0" w:type="dxa"/>
            </w:tcMar>
            <w:vAlign w:val="center"/>
          </w:tcPr>
          <w:p w14:paraId="4CB420C2" w14:textId="77777777" w:rsidR="003E20DF" w:rsidRDefault="00F01A5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5599409" w14:textId="77777777" w:rsidR="003E20DF" w:rsidRDefault="00F01A5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890E3C7" w14:textId="77777777" w:rsidR="003E20DF" w:rsidRDefault="00F01A5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97F2035" w14:textId="77777777" w:rsidR="003E20DF" w:rsidRDefault="00F01A5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D038612" w14:textId="77777777" w:rsidR="003E20DF" w:rsidRDefault="00F01A5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B3B1AE9" w14:textId="77777777" w:rsidR="003E20DF" w:rsidRDefault="00F01A5C">
            <w:pPr>
              <w:keepNext/>
              <w:keepLines/>
              <w:spacing w:after="0" w:line="240" w:lineRule="auto"/>
              <w:jc w:val="center"/>
            </w:pPr>
            <w:r>
              <w:rPr>
                <w:b/>
                <w:sz w:val="18"/>
              </w:rPr>
              <w:t>Indeks (%)</w:t>
            </w:r>
          </w:p>
        </w:tc>
      </w:tr>
      <w:tr w:rsidR="003E20DF" w14:paraId="06692420" w14:textId="77777777">
        <w:trPr>
          <w:cantSplit/>
          <w:trHeight w:val="560"/>
        </w:trPr>
        <w:tc>
          <w:tcPr>
            <w:tcW w:w="700" w:type="dxa"/>
            <w:tcMar>
              <w:top w:w="0" w:type="dxa"/>
              <w:bottom w:w="0" w:type="dxa"/>
            </w:tcMar>
            <w:vAlign w:val="center"/>
          </w:tcPr>
          <w:p w14:paraId="094845F6" w14:textId="77777777" w:rsidR="003E20DF" w:rsidRDefault="00F01A5C">
            <w:pPr>
              <w:keepNext/>
              <w:keepLines/>
              <w:spacing w:after="0" w:line="240" w:lineRule="auto"/>
            </w:pPr>
            <w:r>
              <w:rPr>
                <w:sz w:val="18"/>
              </w:rPr>
              <w:t>164</w:t>
            </w:r>
          </w:p>
        </w:tc>
        <w:tc>
          <w:tcPr>
            <w:tcW w:w="3180" w:type="dxa"/>
            <w:tcMar>
              <w:top w:w="0" w:type="dxa"/>
              <w:bottom w:w="0" w:type="dxa"/>
            </w:tcMar>
            <w:vAlign w:val="center"/>
          </w:tcPr>
          <w:p w14:paraId="34B09255" w14:textId="77777777" w:rsidR="003E20DF" w:rsidRDefault="00F01A5C">
            <w:pPr>
              <w:keepNext/>
              <w:keepLines/>
              <w:spacing w:after="0" w:line="240" w:lineRule="auto"/>
            </w:pPr>
            <w:r>
              <w:rPr>
                <w:sz w:val="18"/>
              </w:rPr>
              <w:t>Potraživanja za prihode od imovine</w:t>
            </w:r>
          </w:p>
        </w:tc>
        <w:tc>
          <w:tcPr>
            <w:tcW w:w="700" w:type="dxa"/>
            <w:tcMar>
              <w:top w:w="0" w:type="dxa"/>
              <w:bottom w:w="0" w:type="dxa"/>
            </w:tcMar>
            <w:vAlign w:val="center"/>
          </w:tcPr>
          <w:p w14:paraId="74EAA7E8" w14:textId="77777777" w:rsidR="003E20DF" w:rsidRDefault="00F01A5C">
            <w:pPr>
              <w:keepNext/>
              <w:keepLines/>
              <w:spacing w:after="0" w:line="240" w:lineRule="auto"/>
            </w:pPr>
            <w:r>
              <w:rPr>
                <w:sz w:val="18"/>
              </w:rPr>
              <w:t>164</w:t>
            </w:r>
          </w:p>
        </w:tc>
        <w:tc>
          <w:tcPr>
            <w:tcW w:w="1860" w:type="dxa"/>
            <w:tcMar>
              <w:top w:w="0" w:type="dxa"/>
              <w:bottom w:w="0" w:type="dxa"/>
            </w:tcMar>
            <w:vAlign w:val="center"/>
          </w:tcPr>
          <w:p w14:paraId="69387819" w14:textId="77777777" w:rsidR="003E20DF" w:rsidRDefault="00F01A5C">
            <w:pPr>
              <w:keepNext/>
              <w:keepLines/>
              <w:spacing w:after="0" w:line="240" w:lineRule="auto"/>
              <w:jc w:val="right"/>
            </w:pPr>
            <w:r>
              <w:rPr>
                <w:sz w:val="18"/>
              </w:rPr>
              <w:t>754.221,23</w:t>
            </w:r>
          </w:p>
        </w:tc>
        <w:tc>
          <w:tcPr>
            <w:tcW w:w="1860" w:type="dxa"/>
            <w:tcMar>
              <w:top w:w="0" w:type="dxa"/>
              <w:bottom w:w="0" w:type="dxa"/>
            </w:tcMar>
            <w:vAlign w:val="center"/>
          </w:tcPr>
          <w:p w14:paraId="36644AFF" w14:textId="77777777" w:rsidR="003E20DF" w:rsidRDefault="00F01A5C">
            <w:pPr>
              <w:keepNext/>
              <w:keepLines/>
              <w:spacing w:after="0" w:line="240" w:lineRule="auto"/>
              <w:jc w:val="right"/>
            </w:pPr>
            <w:r>
              <w:rPr>
                <w:sz w:val="18"/>
              </w:rPr>
              <w:t>1.151.220,46</w:t>
            </w:r>
          </w:p>
        </w:tc>
        <w:tc>
          <w:tcPr>
            <w:tcW w:w="700" w:type="dxa"/>
            <w:tcMar>
              <w:top w:w="0" w:type="dxa"/>
              <w:bottom w:w="0" w:type="dxa"/>
            </w:tcMar>
            <w:vAlign w:val="center"/>
          </w:tcPr>
          <w:p w14:paraId="409DF267" w14:textId="77777777" w:rsidR="003E20DF" w:rsidRDefault="00F01A5C">
            <w:pPr>
              <w:keepNext/>
              <w:keepLines/>
              <w:spacing w:after="0" w:line="240" w:lineRule="auto"/>
              <w:jc w:val="right"/>
            </w:pPr>
            <w:r>
              <w:rPr>
                <w:sz w:val="18"/>
              </w:rPr>
              <w:t>152,6</w:t>
            </w:r>
          </w:p>
        </w:tc>
      </w:tr>
    </w:tbl>
    <w:p w14:paraId="0A9B96C7" w14:textId="77777777" w:rsidR="003E20DF" w:rsidRDefault="003E20DF">
      <w:pPr>
        <w:spacing w:after="0"/>
      </w:pPr>
    </w:p>
    <w:p w14:paraId="0DF3F7C9" w14:textId="77777777" w:rsidR="003E20DF" w:rsidRDefault="00F01A5C" w:rsidP="00882057">
      <w:pPr>
        <w:ind w:firstLine="708"/>
        <w:jc w:val="both"/>
      </w:pPr>
      <w:r>
        <w:t>Rast u okviru ovih potraživanja vezan je za nenaplaćenu naknadu od Hrvatskog telekoma u iznosu 221.744,88 eura za korištenja DTK kablova.</w:t>
      </w:r>
    </w:p>
    <w:p w14:paraId="637582EE" w14:textId="77777777" w:rsidR="003E20DF" w:rsidRDefault="003E20DF"/>
    <w:p w14:paraId="2E2CC50B" w14:textId="77777777" w:rsidR="003E20DF" w:rsidRDefault="00F01A5C">
      <w:pPr>
        <w:keepNext/>
        <w:spacing w:line="240" w:lineRule="auto"/>
        <w:jc w:val="center"/>
      </w:pPr>
      <w:r>
        <w:rPr>
          <w:sz w:val="28"/>
        </w:rPr>
        <w:t>Bilješka 80.</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20DF" w14:paraId="515857CD" w14:textId="77777777">
        <w:trPr>
          <w:cantSplit/>
        </w:trPr>
        <w:tc>
          <w:tcPr>
            <w:tcW w:w="700" w:type="dxa"/>
            <w:shd w:val="clear" w:color="auto" w:fill="E7F0F9"/>
            <w:tcMar>
              <w:top w:w="0" w:type="dxa"/>
              <w:bottom w:w="0" w:type="dxa"/>
            </w:tcMar>
            <w:vAlign w:val="center"/>
          </w:tcPr>
          <w:p w14:paraId="06901602" w14:textId="77777777" w:rsidR="003E20DF" w:rsidRDefault="00F01A5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0A90A7D" w14:textId="77777777" w:rsidR="003E20DF" w:rsidRDefault="00F01A5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0044D5A" w14:textId="77777777" w:rsidR="003E20DF" w:rsidRDefault="00F01A5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0185DC5" w14:textId="77777777" w:rsidR="003E20DF" w:rsidRDefault="00F01A5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1D233DE" w14:textId="77777777" w:rsidR="003E20DF" w:rsidRDefault="00F01A5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81CBBAC" w14:textId="77777777" w:rsidR="003E20DF" w:rsidRDefault="00F01A5C">
            <w:pPr>
              <w:keepNext/>
              <w:keepLines/>
              <w:spacing w:after="0" w:line="240" w:lineRule="auto"/>
              <w:jc w:val="center"/>
            </w:pPr>
            <w:r>
              <w:rPr>
                <w:b/>
                <w:sz w:val="18"/>
              </w:rPr>
              <w:t>Indeks (%)</w:t>
            </w:r>
          </w:p>
        </w:tc>
      </w:tr>
      <w:tr w:rsidR="003E20DF" w14:paraId="0DDB5467" w14:textId="77777777">
        <w:trPr>
          <w:cantSplit/>
          <w:trHeight w:val="560"/>
        </w:trPr>
        <w:tc>
          <w:tcPr>
            <w:tcW w:w="700" w:type="dxa"/>
            <w:tcMar>
              <w:top w:w="0" w:type="dxa"/>
              <w:bottom w:w="0" w:type="dxa"/>
            </w:tcMar>
            <w:vAlign w:val="center"/>
          </w:tcPr>
          <w:p w14:paraId="452D34A8" w14:textId="77777777" w:rsidR="003E20DF" w:rsidRDefault="00F01A5C">
            <w:pPr>
              <w:keepNext/>
              <w:keepLines/>
              <w:spacing w:after="0" w:line="240" w:lineRule="auto"/>
            </w:pPr>
            <w:r>
              <w:rPr>
                <w:sz w:val="18"/>
              </w:rPr>
              <w:t>168</w:t>
            </w:r>
          </w:p>
        </w:tc>
        <w:tc>
          <w:tcPr>
            <w:tcW w:w="3180" w:type="dxa"/>
            <w:tcMar>
              <w:top w:w="0" w:type="dxa"/>
              <w:bottom w:w="0" w:type="dxa"/>
            </w:tcMar>
            <w:vAlign w:val="center"/>
          </w:tcPr>
          <w:p w14:paraId="7249DB0F" w14:textId="77777777" w:rsidR="003E20DF" w:rsidRDefault="00F01A5C">
            <w:pPr>
              <w:keepNext/>
              <w:keepLines/>
              <w:spacing w:after="0" w:line="240" w:lineRule="auto"/>
            </w:pPr>
            <w:r>
              <w:rPr>
                <w:sz w:val="18"/>
              </w:rPr>
              <w:t>Potraživanja za kazne i upravne mjere te ostale prihode</w:t>
            </w:r>
          </w:p>
        </w:tc>
        <w:tc>
          <w:tcPr>
            <w:tcW w:w="700" w:type="dxa"/>
            <w:tcMar>
              <w:top w:w="0" w:type="dxa"/>
              <w:bottom w:w="0" w:type="dxa"/>
            </w:tcMar>
            <w:vAlign w:val="center"/>
          </w:tcPr>
          <w:p w14:paraId="1665B9F9" w14:textId="77777777" w:rsidR="003E20DF" w:rsidRDefault="00F01A5C">
            <w:pPr>
              <w:keepNext/>
              <w:keepLines/>
              <w:spacing w:after="0" w:line="240" w:lineRule="auto"/>
            </w:pPr>
            <w:r>
              <w:rPr>
                <w:sz w:val="18"/>
              </w:rPr>
              <w:t>168</w:t>
            </w:r>
          </w:p>
        </w:tc>
        <w:tc>
          <w:tcPr>
            <w:tcW w:w="1860" w:type="dxa"/>
            <w:tcMar>
              <w:top w:w="0" w:type="dxa"/>
              <w:bottom w:w="0" w:type="dxa"/>
            </w:tcMar>
            <w:vAlign w:val="center"/>
          </w:tcPr>
          <w:p w14:paraId="579C521C" w14:textId="77777777" w:rsidR="003E20DF" w:rsidRDefault="00F01A5C">
            <w:pPr>
              <w:keepNext/>
              <w:keepLines/>
              <w:spacing w:after="0" w:line="240" w:lineRule="auto"/>
              <w:jc w:val="right"/>
            </w:pPr>
            <w:r>
              <w:rPr>
                <w:sz w:val="18"/>
              </w:rPr>
              <w:t>365.096,66</w:t>
            </w:r>
          </w:p>
        </w:tc>
        <w:tc>
          <w:tcPr>
            <w:tcW w:w="1860" w:type="dxa"/>
            <w:tcMar>
              <w:top w:w="0" w:type="dxa"/>
              <w:bottom w:w="0" w:type="dxa"/>
            </w:tcMar>
            <w:vAlign w:val="center"/>
          </w:tcPr>
          <w:p w14:paraId="2306CF0B" w14:textId="77777777" w:rsidR="003E20DF" w:rsidRDefault="00F01A5C">
            <w:pPr>
              <w:keepNext/>
              <w:keepLines/>
              <w:spacing w:after="0" w:line="240" w:lineRule="auto"/>
              <w:jc w:val="right"/>
            </w:pPr>
            <w:r>
              <w:rPr>
                <w:sz w:val="18"/>
              </w:rPr>
              <w:t>899.563,24</w:t>
            </w:r>
          </w:p>
        </w:tc>
        <w:tc>
          <w:tcPr>
            <w:tcW w:w="700" w:type="dxa"/>
            <w:tcMar>
              <w:top w:w="0" w:type="dxa"/>
              <w:bottom w:w="0" w:type="dxa"/>
            </w:tcMar>
            <w:vAlign w:val="center"/>
          </w:tcPr>
          <w:p w14:paraId="5741AECA" w14:textId="77777777" w:rsidR="003E20DF" w:rsidRDefault="00F01A5C">
            <w:pPr>
              <w:keepNext/>
              <w:keepLines/>
              <w:spacing w:after="0" w:line="240" w:lineRule="auto"/>
              <w:jc w:val="right"/>
            </w:pPr>
            <w:r>
              <w:rPr>
                <w:sz w:val="18"/>
              </w:rPr>
              <w:t>246,4</w:t>
            </w:r>
          </w:p>
        </w:tc>
      </w:tr>
    </w:tbl>
    <w:p w14:paraId="32419ECD" w14:textId="77777777" w:rsidR="003E20DF" w:rsidRDefault="003E20DF">
      <w:pPr>
        <w:spacing w:after="0"/>
      </w:pPr>
    </w:p>
    <w:p w14:paraId="1A75FED5" w14:textId="08F50591" w:rsidR="003E20DF" w:rsidRDefault="00F01A5C" w:rsidP="00882057">
      <w:pPr>
        <w:ind w:firstLine="708"/>
        <w:jc w:val="both"/>
      </w:pPr>
      <w:r>
        <w:t>Rast u okviru ovih potraživanja vezan je za povećani broj izdanih prometnih i komunalnih kazni u 2025., ugovornu kaznu prema tvrtki Cras d.o.o. za neizvršavanje ugovornih obveza na energetskoj obnovi ETC Mačkamama koja nije naplaćena u cijelosti te zaduženje poštanskih troškova  za slanje rješenje Hrvatskih voda</w:t>
      </w:r>
      <w:r w:rsidR="003403F4">
        <w:t>.</w:t>
      </w:r>
    </w:p>
    <w:p w14:paraId="3BBDFB7C" w14:textId="77777777" w:rsidR="003E20DF" w:rsidRDefault="003E20DF"/>
    <w:p w14:paraId="0265902E" w14:textId="77777777" w:rsidR="003E20DF" w:rsidRDefault="00F01A5C">
      <w:pPr>
        <w:keepNext/>
        <w:spacing w:line="240" w:lineRule="auto"/>
        <w:jc w:val="center"/>
      </w:pPr>
      <w:r>
        <w:rPr>
          <w:sz w:val="28"/>
        </w:rPr>
        <w:t>Bilješka 81.</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20DF" w14:paraId="7F2CD761" w14:textId="77777777">
        <w:trPr>
          <w:cantSplit/>
        </w:trPr>
        <w:tc>
          <w:tcPr>
            <w:tcW w:w="700" w:type="dxa"/>
            <w:shd w:val="clear" w:color="auto" w:fill="E7F0F9"/>
            <w:tcMar>
              <w:top w:w="0" w:type="dxa"/>
              <w:bottom w:w="0" w:type="dxa"/>
            </w:tcMar>
            <w:vAlign w:val="center"/>
          </w:tcPr>
          <w:p w14:paraId="0D58D6CF" w14:textId="77777777" w:rsidR="003E20DF" w:rsidRDefault="00F01A5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435691E" w14:textId="77777777" w:rsidR="003E20DF" w:rsidRDefault="00F01A5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00E6AEF" w14:textId="77777777" w:rsidR="003E20DF" w:rsidRDefault="00F01A5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4290DCB" w14:textId="77777777" w:rsidR="003E20DF" w:rsidRDefault="00F01A5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602FCB7" w14:textId="77777777" w:rsidR="003E20DF" w:rsidRDefault="00F01A5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BA5B565" w14:textId="77777777" w:rsidR="003E20DF" w:rsidRDefault="00F01A5C">
            <w:pPr>
              <w:keepNext/>
              <w:keepLines/>
              <w:spacing w:after="0" w:line="240" w:lineRule="auto"/>
              <w:jc w:val="center"/>
            </w:pPr>
            <w:r>
              <w:rPr>
                <w:b/>
                <w:sz w:val="18"/>
              </w:rPr>
              <w:t>Indeks (%)</w:t>
            </w:r>
          </w:p>
        </w:tc>
      </w:tr>
      <w:tr w:rsidR="003E20DF" w14:paraId="1A3FD650" w14:textId="77777777">
        <w:trPr>
          <w:cantSplit/>
          <w:trHeight w:val="560"/>
        </w:trPr>
        <w:tc>
          <w:tcPr>
            <w:tcW w:w="700" w:type="dxa"/>
            <w:tcMar>
              <w:top w:w="0" w:type="dxa"/>
              <w:bottom w:w="0" w:type="dxa"/>
            </w:tcMar>
            <w:vAlign w:val="center"/>
          </w:tcPr>
          <w:p w14:paraId="764F8F75" w14:textId="77777777" w:rsidR="003E20DF" w:rsidRDefault="00F01A5C">
            <w:pPr>
              <w:keepNext/>
              <w:keepLines/>
              <w:spacing w:after="0" w:line="240" w:lineRule="auto"/>
            </w:pPr>
            <w:r>
              <w:rPr>
                <w:sz w:val="18"/>
              </w:rPr>
              <w:t>17</w:t>
            </w:r>
          </w:p>
        </w:tc>
        <w:tc>
          <w:tcPr>
            <w:tcW w:w="3180" w:type="dxa"/>
            <w:tcMar>
              <w:top w:w="0" w:type="dxa"/>
              <w:bottom w:w="0" w:type="dxa"/>
            </w:tcMar>
            <w:vAlign w:val="center"/>
          </w:tcPr>
          <w:p w14:paraId="653F7902" w14:textId="77777777" w:rsidR="003E20DF" w:rsidRDefault="00F01A5C">
            <w:pPr>
              <w:keepNext/>
              <w:keepLines/>
              <w:spacing w:after="0" w:line="240" w:lineRule="auto"/>
            </w:pPr>
            <w:r>
              <w:rPr>
                <w:sz w:val="18"/>
              </w:rPr>
              <w:t>Potraživanja od prodaje nefinancijske imovine (šifre 171 do 174 - 179)</w:t>
            </w:r>
          </w:p>
        </w:tc>
        <w:tc>
          <w:tcPr>
            <w:tcW w:w="700" w:type="dxa"/>
            <w:tcMar>
              <w:top w:w="0" w:type="dxa"/>
              <w:bottom w:w="0" w:type="dxa"/>
            </w:tcMar>
            <w:vAlign w:val="center"/>
          </w:tcPr>
          <w:p w14:paraId="4F122528" w14:textId="77777777" w:rsidR="003E20DF" w:rsidRDefault="00F01A5C">
            <w:pPr>
              <w:keepNext/>
              <w:keepLines/>
              <w:spacing w:after="0" w:line="240" w:lineRule="auto"/>
            </w:pPr>
            <w:r>
              <w:rPr>
                <w:sz w:val="18"/>
              </w:rPr>
              <w:t>17</w:t>
            </w:r>
          </w:p>
        </w:tc>
        <w:tc>
          <w:tcPr>
            <w:tcW w:w="1860" w:type="dxa"/>
            <w:tcMar>
              <w:top w:w="0" w:type="dxa"/>
              <w:bottom w:w="0" w:type="dxa"/>
            </w:tcMar>
            <w:vAlign w:val="center"/>
          </w:tcPr>
          <w:p w14:paraId="06284ACC" w14:textId="77777777" w:rsidR="003E20DF" w:rsidRDefault="00F01A5C">
            <w:pPr>
              <w:keepNext/>
              <w:keepLines/>
              <w:spacing w:after="0" w:line="240" w:lineRule="auto"/>
              <w:jc w:val="right"/>
            </w:pPr>
            <w:r>
              <w:rPr>
                <w:sz w:val="18"/>
              </w:rPr>
              <w:t>346.184,51</w:t>
            </w:r>
          </w:p>
        </w:tc>
        <w:tc>
          <w:tcPr>
            <w:tcW w:w="1860" w:type="dxa"/>
            <w:tcMar>
              <w:top w:w="0" w:type="dxa"/>
              <w:bottom w:w="0" w:type="dxa"/>
            </w:tcMar>
            <w:vAlign w:val="center"/>
          </w:tcPr>
          <w:p w14:paraId="52CA30BA" w14:textId="77777777" w:rsidR="003E20DF" w:rsidRDefault="00F01A5C">
            <w:pPr>
              <w:keepNext/>
              <w:keepLines/>
              <w:spacing w:after="0" w:line="240" w:lineRule="auto"/>
              <w:jc w:val="right"/>
            </w:pPr>
            <w:r>
              <w:rPr>
                <w:sz w:val="18"/>
              </w:rPr>
              <w:t>744.584,66</w:t>
            </w:r>
          </w:p>
        </w:tc>
        <w:tc>
          <w:tcPr>
            <w:tcW w:w="700" w:type="dxa"/>
            <w:tcMar>
              <w:top w:w="0" w:type="dxa"/>
              <w:bottom w:w="0" w:type="dxa"/>
            </w:tcMar>
            <w:vAlign w:val="center"/>
          </w:tcPr>
          <w:p w14:paraId="31BC2763" w14:textId="77777777" w:rsidR="003E20DF" w:rsidRDefault="00F01A5C">
            <w:pPr>
              <w:keepNext/>
              <w:keepLines/>
              <w:spacing w:after="0" w:line="240" w:lineRule="auto"/>
              <w:jc w:val="right"/>
            </w:pPr>
            <w:r>
              <w:rPr>
                <w:sz w:val="18"/>
              </w:rPr>
              <w:t>215,1</w:t>
            </w:r>
          </w:p>
        </w:tc>
      </w:tr>
    </w:tbl>
    <w:p w14:paraId="1E0D6A45" w14:textId="77777777" w:rsidR="003E20DF" w:rsidRDefault="003E20DF">
      <w:pPr>
        <w:spacing w:after="0"/>
      </w:pPr>
    </w:p>
    <w:p w14:paraId="03B29D2E" w14:textId="77777777" w:rsidR="003E20DF" w:rsidRDefault="00F01A5C" w:rsidP="00882057">
      <w:pPr>
        <w:ind w:firstLine="708"/>
        <w:jc w:val="both"/>
      </w:pPr>
      <w:r>
        <w:t>Rast potraživanja od prodaje nefinancijske imovine vezan je za ispravak potraživanja po ugovorima o kupovini stanova temeljem obročne otplate. Isti nije sačinjen iz razloga što je zauzet stav da bi predmetna potraživanja trebala biti naplaćena u cijelosti, obzirom da nije moguće upisati vlasništvo bez uplate cjelokupne utvrđene cijene. </w:t>
      </w:r>
    </w:p>
    <w:p w14:paraId="7644A574" w14:textId="77777777" w:rsidR="003E20DF" w:rsidRDefault="003E20DF"/>
    <w:p w14:paraId="428C58BD" w14:textId="77777777" w:rsidR="003E20DF" w:rsidRDefault="00F01A5C">
      <w:pPr>
        <w:keepNext/>
        <w:spacing w:line="240" w:lineRule="auto"/>
        <w:jc w:val="center"/>
      </w:pPr>
      <w:r>
        <w:rPr>
          <w:sz w:val="28"/>
        </w:rPr>
        <w:t>Bilješka 82.</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20DF" w14:paraId="78A88E3D" w14:textId="77777777">
        <w:trPr>
          <w:cantSplit/>
        </w:trPr>
        <w:tc>
          <w:tcPr>
            <w:tcW w:w="700" w:type="dxa"/>
            <w:shd w:val="clear" w:color="auto" w:fill="E7F0F9"/>
            <w:tcMar>
              <w:top w:w="0" w:type="dxa"/>
              <w:bottom w:w="0" w:type="dxa"/>
            </w:tcMar>
            <w:vAlign w:val="center"/>
          </w:tcPr>
          <w:p w14:paraId="1D351F68" w14:textId="77777777" w:rsidR="003E20DF" w:rsidRDefault="00F01A5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A029CF8" w14:textId="77777777" w:rsidR="003E20DF" w:rsidRDefault="00F01A5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14C94CE" w14:textId="77777777" w:rsidR="003E20DF" w:rsidRDefault="00F01A5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1F5A450" w14:textId="77777777" w:rsidR="003E20DF" w:rsidRDefault="00F01A5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7AD661B" w14:textId="77777777" w:rsidR="003E20DF" w:rsidRDefault="00F01A5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232F9DF" w14:textId="77777777" w:rsidR="003E20DF" w:rsidRDefault="00F01A5C">
            <w:pPr>
              <w:keepNext/>
              <w:keepLines/>
              <w:spacing w:after="0" w:line="240" w:lineRule="auto"/>
              <w:jc w:val="center"/>
            </w:pPr>
            <w:r>
              <w:rPr>
                <w:b/>
                <w:sz w:val="18"/>
              </w:rPr>
              <w:t>Indeks (%)</w:t>
            </w:r>
          </w:p>
        </w:tc>
      </w:tr>
      <w:tr w:rsidR="003E20DF" w14:paraId="00B4BB88" w14:textId="77777777">
        <w:trPr>
          <w:cantSplit/>
          <w:trHeight w:val="560"/>
        </w:trPr>
        <w:tc>
          <w:tcPr>
            <w:tcW w:w="700" w:type="dxa"/>
            <w:tcMar>
              <w:top w:w="0" w:type="dxa"/>
              <w:bottom w:w="0" w:type="dxa"/>
            </w:tcMar>
            <w:vAlign w:val="center"/>
          </w:tcPr>
          <w:p w14:paraId="7565BD22" w14:textId="77777777" w:rsidR="003E20DF" w:rsidRDefault="00F01A5C">
            <w:pPr>
              <w:keepNext/>
              <w:keepLines/>
              <w:spacing w:after="0" w:line="240" w:lineRule="auto"/>
            </w:pPr>
            <w:r>
              <w:rPr>
                <w:sz w:val="18"/>
              </w:rPr>
              <w:t>19</w:t>
            </w:r>
          </w:p>
        </w:tc>
        <w:tc>
          <w:tcPr>
            <w:tcW w:w="3180" w:type="dxa"/>
            <w:tcMar>
              <w:top w:w="0" w:type="dxa"/>
              <w:bottom w:w="0" w:type="dxa"/>
            </w:tcMar>
            <w:vAlign w:val="center"/>
          </w:tcPr>
          <w:p w14:paraId="5B15C5C0" w14:textId="77777777" w:rsidR="003E20DF" w:rsidRDefault="00F01A5C">
            <w:pPr>
              <w:keepNext/>
              <w:keepLines/>
              <w:spacing w:after="0" w:line="240" w:lineRule="auto"/>
            </w:pPr>
            <w:r>
              <w:rPr>
                <w:sz w:val="18"/>
              </w:rPr>
              <w:t>Rashodi budućih razdoblja i nedospjela naplata prihoda (aktivna vremenska razgraničenja) (šifre 191 do 193)</w:t>
            </w:r>
          </w:p>
        </w:tc>
        <w:tc>
          <w:tcPr>
            <w:tcW w:w="700" w:type="dxa"/>
            <w:tcMar>
              <w:top w:w="0" w:type="dxa"/>
              <w:bottom w:w="0" w:type="dxa"/>
            </w:tcMar>
            <w:vAlign w:val="center"/>
          </w:tcPr>
          <w:p w14:paraId="6D502F17" w14:textId="77777777" w:rsidR="003E20DF" w:rsidRDefault="00F01A5C">
            <w:pPr>
              <w:keepNext/>
              <w:keepLines/>
              <w:spacing w:after="0" w:line="240" w:lineRule="auto"/>
            </w:pPr>
            <w:r>
              <w:rPr>
                <w:sz w:val="18"/>
              </w:rPr>
              <w:t>19</w:t>
            </w:r>
          </w:p>
        </w:tc>
        <w:tc>
          <w:tcPr>
            <w:tcW w:w="1860" w:type="dxa"/>
            <w:tcMar>
              <w:top w:w="0" w:type="dxa"/>
              <w:bottom w:w="0" w:type="dxa"/>
            </w:tcMar>
            <w:vAlign w:val="center"/>
          </w:tcPr>
          <w:p w14:paraId="382B651D" w14:textId="77777777" w:rsidR="003E20DF" w:rsidRDefault="00F01A5C">
            <w:pPr>
              <w:keepNext/>
              <w:keepLines/>
              <w:spacing w:after="0" w:line="240" w:lineRule="auto"/>
              <w:jc w:val="right"/>
            </w:pPr>
            <w:r>
              <w:rPr>
                <w:sz w:val="18"/>
              </w:rPr>
              <w:t>455.396,96</w:t>
            </w:r>
          </w:p>
        </w:tc>
        <w:tc>
          <w:tcPr>
            <w:tcW w:w="1860" w:type="dxa"/>
            <w:tcMar>
              <w:top w:w="0" w:type="dxa"/>
              <w:bottom w:w="0" w:type="dxa"/>
            </w:tcMar>
            <w:vAlign w:val="center"/>
          </w:tcPr>
          <w:p w14:paraId="73D2E8C4" w14:textId="77777777" w:rsidR="003E20DF" w:rsidRDefault="00F01A5C">
            <w:pPr>
              <w:keepNext/>
              <w:keepLines/>
              <w:spacing w:after="0" w:line="240" w:lineRule="auto"/>
              <w:jc w:val="right"/>
            </w:pPr>
            <w:r>
              <w:rPr>
                <w:sz w:val="18"/>
              </w:rPr>
              <w:t>0,00</w:t>
            </w:r>
          </w:p>
        </w:tc>
        <w:tc>
          <w:tcPr>
            <w:tcW w:w="700" w:type="dxa"/>
            <w:tcMar>
              <w:top w:w="0" w:type="dxa"/>
              <w:bottom w:w="0" w:type="dxa"/>
            </w:tcMar>
            <w:vAlign w:val="center"/>
          </w:tcPr>
          <w:p w14:paraId="7D38A23B" w14:textId="77777777" w:rsidR="003E20DF" w:rsidRDefault="00F01A5C">
            <w:pPr>
              <w:keepNext/>
              <w:keepLines/>
              <w:spacing w:after="0" w:line="240" w:lineRule="auto"/>
              <w:jc w:val="right"/>
            </w:pPr>
            <w:r>
              <w:rPr>
                <w:sz w:val="18"/>
              </w:rPr>
              <w:t>0</w:t>
            </w:r>
          </w:p>
        </w:tc>
      </w:tr>
    </w:tbl>
    <w:p w14:paraId="308AFAE4" w14:textId="77777777" w:rsidR="003E20DF" w:rsidRDefault="003E20DF">
      <w:pPr>
        <w:spacing w:after="0"/>
      </w:pPr>
    </w:p>
    <w:p w14:paraId="5EC7D64B" w14:textId="3AE33AA8" w:rsidR="003E20DF" w:rsidRDefault="00F01A5C">
      <w:r>
        <w:t>Iskazano smanjenje vezano je za ukidanje rashoda kontinuiteta u 2025</w:t>
      </w:r>
      <w:r w:rsidR="003403F4">
        <w:t>.</w:t>
      </w:r>
    </w:p>
    <w:p w14:paraId="3374DBF1" w14:textId="77777777" w:rsidR="003E20DF" w:rsidRDefault="003E20DF"/>
    <w:p w14:paraId="252682DF" w14:textId="77777777" w:rsidR="003E20DF" w:rsidRDefault="00F01A5C">
      <w:pPr>
        <w:keepNext/>
        <w:spacing w:line="240" w:lineRule="auto"/>
        <w:jc w:val="center"/>
      </w:pPr>
      <w:r>
        <w:rPr>
          <w:sz w:val="28"/>
        </w:rPr>
        <w:t>Bilješka 83.</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20DF" w14:paraId="3E7018E0" w14:textId="77777777">
        <w:trPr>
          <w:cantSplit/>
        </w:trPr>
        <w:tc>
          <w:tcPr>
            <w:tcW w:w="700" w:type="dxa"/>
            <w:shd w:val="clear" w:color="auto" w:fill="E7F0F9"/>
            <w:tcMar>
              <w:top w:w="0" w:type="dxa"/>
              <w:bottom w:w="0" w:type="dxa"/>
            </w:tcMar>
            <w:vAlign w:val="center"/>
          </w:tcPr>
          <w:p w14:paraId="51776214" w14:textId="77777777" w:rsidR="003E20DF" w:rsidRDefault="00F01A5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BFA7487" w14:textId="77777777" w:rsidR="003E20DF" w:rsidRDefault="00F01A5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2554207" w14:textId="77777777" w:rsidR="003E20DF" w:rsidRDefault="00F01A5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BD2B813" w14:textId="77777777" w:rsidR="003E20DF" w:rsidRDefault="00F01A5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DEC66D9" w14:textId="77777777" w:rsidR="003E20DF" w:rsidRDefault="00F01A5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132A1A5" w14:textId="77777777" w:rsidR="003E20DF" w:rsidRDefault="00F01A5C">
            <w:pPr>
              <w:keepNext/>
              <w:keepLines/>
              <w:spacing w:after="0" w:line="240" w:lineRule="auto"/>
              <w:jc w:val="center"/>
            </w:pPr>
            <w:r>
              <w:rPr>
                <w:b/>
                <w:sz w:val="18"/>
              </w:rPr>
              <w:t>Indeks (%)</w:t>
            </w:r>
          </w:p>
        </w:tc>
      </w:tr>
      <w:tr w:rsidR="003E20DF" w14:paraId="2D42A867" w14:textId="77777777">
        <w:trPr>
          <w:cantSplit/>
          <w:trHeight w:val="560"/>
        </w:trPr>
        <w:tc>
          <w:tcPr>
            <w:tcW w:w="700" w:type="dxa"/>
            <w:tcMar>
              <w:top w:w="0" w:type="dxa"/>
              <w:bottom w:w="0" w:type="dxa"/>
            </w:tcMar>
            <w:vAlign w:val="center"/>
          </w:tcPr>
          <w:p w14:paraId="6D770C6F" w14:textId="77777777" w:rsidR="003E20DF" w:rsidRDefault="00F01A5C">
            <w:pPr>
              <w:keepNext/>
              <w:keepLines/>
              <w:spacing w:after="0" w:line="240" w:lineRule="auto"/>
            </w:pPr>
            <w:r>
              <w:rPr>
                <w:sz w:val="18"/>
              </w:rPr>
              <w:t>2</w:t>
            </w:r>
          </w:p>
        </w:tc>
        <w:tc>
          <w:tcPr>
            <w:tcW w:w="3180" w:type="dxa"/>
            <w:tcMar>
              <w:top w:w="0" w:type="dxa"/>
              <w:bottom w:w="0" w:type="dxa"/>
            </w:tcMar>
            <w:vAlign w:val="center"/>
          </w:tcPr>
          <w:p w14:paraId="0B24EDF9" w14:textId="77777777" w:rsidR="003E20DF" w:rsidRDefault="00F01A5C">
            <w:pPr>
              <w:keepNext/>
              <w:keepLines/>
              <w:spacing w:after="0" w:line="240" w:lineRule="auto"/>
            </w:pPr>
            <w:r>
              <w:rPr>
                <w:sz w:val="18"/>
              </w:rPr>
              <w:t>Obveze (šifre 23+24+25+26+27+29)</w:t>
            </w:r>
          </w:p>
        </w:tc>
        <w:tc>
          <w:tcPr>
            <w:tcW w:w="700" w:type="dxa"/>
            <w:tcMar>
              <w:top w:w="0" w:type="dxa"/>
              <w:bottom w:w="0" w:type="dxa"/>
            </w:tcMar>
            <w:vAlign w:val="center"/>
          </w:tcPr>
          <w:p w14:paraId="22CA0F73" w14:textId="77777777" w:rsidR="003E20DF" w:rsidRDefault="00F01A5C">
            <w:pPr>
              <w:keepNext/>
              <w:keepLines/>
              <w:spacing w:after="0" w:line="240" w:lineRule="auto"/>
            </w:pPr>
            <w:r>
              <w:rPr>
                <w:sz w:val="18"/>
              </w:rPr>
              <w:t>2</w:t>
            </w:r>
          </w:p>
        </w:tc>
        <w:tc>
          <w:tcPr>
            <w:tcW w:w="1860" w:type="dxa"/>
            <w:tcMar>
              <w:top w:w="0" w:type="dxa"/>
              <w:bottom w:w="0" w:type="dxa"/>
            </w:tcMar>
            <w:vAlign w:val="center"/>
          </w:tcPr>
          <w:p w14:paraId="3CBF65C6" w14:textId="77777777" w:rsidR="003E20DF" w:rsidRDefault="00F01A5C">
            <w:pPr>
              <w:keepNext/>
              <w:keepLines/>
              <w:spacing w:after="0" w:line="240" w:lineRule="auto"/>
              <w:jc w:val="right"/>
            </w:pPr>
            <w:r>
              <w:rPr>
                <w:sz w:val="18"/>
              </w:rPr>
              <w:t>42.618.862,25</w:t>
            </w:r>
          </w:p>
        </w:tc>
        <w:tc>
          <w:tcPr>
            <w:tcW w:w="1860" w:type="dxa"/>
            <w:tcMar>
              <w:top w:w="0" w:type="dxa"/>
              <w:bottom w:w="0" w:type="dxa"/>
            </w:tcMar>
            <w:vAlign w:val="center"/>
          </w:tcPr>
          <w:p w14:paraId="15B04336" w14:textId="77777777" w:rsidR="003E20DF" w:rsidRDefault="00F01A5C">
            <w:pPr>
              <w:keepNext/>
              <w:keepLines/>
              <w:spacing w:after="0" w:line="240" w:lineRule="auto"/>
              <w:jc w:val="right"/>
            </w:pPr>
            <w:r>
              <w:rPr>
                <w:sz w:val="18"/>
              </w:rPr>
              <w:t>41.616.715,52</w:t>
            </w:r>
          </w:p>
        </w:tc>
        <w:tc>
          <w:tcPr>
            <w:tcW w:w="700" w:type="dxa"/>
            <w:tcMar>
              <w:top w:w="0" w:type="dxa"/>
              <w:bottom w:w="0" w:type="dxa"/>
            </w:tcMar>
            <w:vAlign w:val="center"/>
          </w:tcPr>
          <w:p w14:paraId="260F1FC6" w14:textId="77777777" w:rsidR="003E20DF" w:rsidRDefault="00F01A5C">
            <w:pPr>
              <w:keepNext/>
              <w:keepLines/>
              <w:spacing w:after="0" w:line="240" w:lineRule="auto"/>
              <w:jc w:val="right"/>
            </w:pPr>
            <w:r>
              <w:rPr>
                <w:sz w:val="18"/>
              </w:rPr>
              <w:t>97,6</w:t>
            </w:r>
          </w:p>
        </w:tc>
      </w:tr>
    </w:tbl>
    <w:p w14:paraId="7143371B" w14:textId="77777777" w:rsidR="003E20DF" w:rsidRDefault="003E20DF">
      <w:pPr>
        <w:spacing w:after="0"/>
      </w:pPr>
    </w:p>
    <w:p w14:paraId="3AA5EFC9" w14:textId="77777777" w:rsidR="003E20DF" w:rsidRDefault="00F01A5C" w:rsidP="00E42C07">
      <w:pPr>
        <w:jc w:val="both"/>
      </w:pPr>
      <w:r>
        <w:t>Ukupne obveze Grada Osijeka na dan 31.12.2025. iznose 41.616.715,52 eura.</w:t>
      </w:r>
    </w:p>
    <w:p w14:paraId="0AECB7EE" w14:textId="77777777" w:rsidR="003E20DF" w:rsidRDefault="00F01A5C" w:rsidP="00E42C07">
      <w:pPr>
        <w:jc w:val="both"/>
      </w:pPr>
      <w:r>
        <w:t>Obveze za rashode poslovanja i rashode za nefinancijsku imovinu detaljnije su obrazložene u bilješkama uz obrazac Obveze. </w:t>
      </w:r>
    </w:p>
    <w:p w14:paraId="3658EAFF" w14:textId="77777777" w:rsidR="003E20DF" w:rsidRDefault="00F01A5C" w:rsidP="00E42C07">
      <w:pPr>
        <w:jc w:val="both"/>
      </w:pPr>
      <w:r>
        <w:t>Pregled obveza u okviru šifre 26 dano je u nastavku. Nije bilo novog dugoročnog ili kratkoročnog zaduživanja u 2025. godini. Dospjele obveze za otplatu glavnice i kamata uredno su izvršavane.</w:t>
      </w:r>
    </w:p>
    <w:p w14:paraId="0C3C01B2" w14:textId="77777777" w:rsidR="003E20DF" w:rsidRDefault="00F01A5C" w:rsidP="00E42C07">
      <w:pPr>
        <w:jc w:val="both"/>
      </w:pPr>
      <w:r>
        <w:t>Stanje glavnice temeljem ugovora o dugoročnom kreditu prikazano je kako slijedi:</w:t>
      </w:r>
    </w:p>
    <w:p w14:paraId="2CB55DDD" w14:textId="77777777" w:rsidR="00AF5C09" w:rsidRDefault="00F01A5C">
      <w:r>
        <w:t> </w:t>
      </w:r>
    </w:p>
    <w:tbl>
      <w:tblPr>
        <w:tblStyle w:val="Reetkatablice"/>
        <w:tblW w:w="9138" w:type="dxa"/>
        <w:tblInd w:w="-5" w:type="dxa"/>
        <w:tblLook w:val="04A0" w:firstRow="1" w:lastRow="0" w:firstColumn="1" w:lastColumn="0" w:noHBand="0" w:noVBand="1"/>
      </w:tblPr>
      <w:tblGrid>
        <w:gridCol w:w="1128"/>
        <w:gridCol w:w="1206"/>
        <w:gridCol w:w="1106"/>
        <w:gridCol w:w="1251"/>
        <w:gridCol w:w="896"/>
        <w:gridCol w:w="1021"/>
        <w:gridCol w:w="936"/>
        <w:gridCol w:w="1306"/>
        <w:gridCol w:w="1251"/>
      </w:tblGrid>
      <w:tr w:rsidR="00AF5C09" w:rsidRPr="00AF5C09" w14:paraId="19ED7B2C" w14:textId="77777777" w:rsidTr="000D2576">
        <w:trPr>
          <w:trHeight w:val="1700"/>
        </w:trPr>
        <w:tc>
          <w:tcPr>
            <w:tcW w:w="1020" w:type="dxa"/>
            <w:tcBorders>
              <w:top w:val="single" w:sz="8" w:space="0" w:color="auto"/>
              <w:left w:val="single" w:sz="8" w:space="0" w:color="auto"/>
              <w:bottom w:val="single" w:sz="8" w:space="0" w:color="auto"/>
              <w:right w:val="single" w:sz="8" w:space="0" w:color="auto"/>
            </w:tcBorders>
            <w:vAlign w:val="center"/>
            <w:hideMark/>
          </w:tcPr>
          <w:p w14:paraId="44DEB24A" w14:textId="5E0E87CD" w:rsidR="00AF5C09" w:rsidRPr="00AF5C09" w:rsidRDefault="00AF5C09" w:rsidP="00AF5C09">
            <w:pPr>
              <w:rPr>
                <w:b/>
                <w:bCs/>
              </w:rPr>
            </w:pPr>
            <w:r>
              <w:rPr>
                <w:b/>
                <w:bCs/>
                <w:color w:val="000000"/>
                <w:sz w:val="16"/>
                <w:szCs w:val="16"/>
              </w:rPr>
              <w:t>KREDITOR </w:t>
            </w:r>
          </w:p>
        </w:tc>
        <w:tc>
          <w:tcPr>
            <w:tcW w:w="1091" w:type="dxa"/>
            <w:tcBorders>
              <w:top w:val="single" w:sz="8" w:space="0" w:color="auto"/>
              <w:left w:val="nil"/>
              <w:bottom w:val="single" w:sz="8" w:space="0" w:color="auto"/>
              <w:right w:val="single" w:sz="8" w:space="0" w:color="auto"/>
            </w:tcBorders>
            <w:vAlign w:val="center"/>
            <w:hideMark/>
          </w:tcPr>
          <w:p w14:paraId="2E6A93E8" w14:textId="41634CED" w:rsidR="00AF5C09" w:rsidRPr="00AF5C09" w:rsidRDefault="00AF5C09" w:rsidP="00AF5C09">
            <w:pPr>
              <w:rPr>
                <w:b/>
                <w:bCs/>
              </w:rPr>
            </w:pPr>
            <w:r>
              <w:rPr>
                <w:b/>
                <w:bCs/>
                <w:color w:val="000000"/>
                <w:sz w:val="18"/>
                <w:szCs w:val="18"/>
              </w:rPr>
              <w:t>Datum davanja suglasnosti Vlade RH/Ministra financija</w:t>
            </w:r>
          </w:p>
        </w:tc>
        <w:tc>
          <w:tcPr>
            <w:tcW w:w="1000" w:type="dxa"/>
            <w:tcBorders>
              <w:top w:val="single" w:sz="8" w:space="0" w:color="auto"/>
              <w:left w:val="nil"/>
              <w:bottom w:val="single" w:sz="8" w:space="0" w:color="auto"/>
              <w:right w:val="single" w:sz="8" w:space="0" w:color="auto"/>
            </w:tcBorders>
            <w:vAlign w:val="center"/>
            <w:hideMark/>
          </w:tcPr>
          <w:p w14:paraId="49B8E8A6" w14:textId="06216127" w:rsidR="00AF5C09" w:rsidRPr="00AF5C09" w:rsidRDefault="00AF5C09" w:rsidP="00AF5C09">
            <w:pPr>
              <w:rPr>
                <w:b/>
                <w:bCs/>
              </w:rPr>
            </w:pPr>
            <w:r>
              <w:rPr>
                <w:b/>
                <w:bCs/>
                <w:color w:val="000000"/>
                <w:sz w:val="18"/>
                <w:szCs w:val="18"/>
              </w:rPr>
              <w:t>Datum zaključenja Ugovora</w:t>
            </w:r>
          </w:p>
        </w:tc>
        <w:tc>
          <w:tcPr>
            <w:tcW w:w="1132" w:type="dxa"/>
            <w:tcBorders>
              <w:top w:val="single" w:sz="8" w:space="0" w:color="auto"/>
              <w:left w:val="nil"/>
              <w:bottom w:val="single" w:sz="8" w:space="0" w:color="auto"/>
              <w:right w:val="single" w:sz="8" w:space="0" w:color="auto"/>
            </w:tcBorders>
            <w:vAlign w:val="center"/>
            <w:hideMark/>
          </w:tcPr>
          <w:p w14:paraId="55C1F914" w14:textId="06252A4E" w:rsidR="00AF5C09" w:rsidRPr="00AF5C09" w:rsidRDefault="00AF5C09" w:rsidP="00AF5C09">
            <w:pPr>
              <w:rPr>
                <w:b/>
                <w:bCs/>
              </w:rPr>
            </w:pPr>
            <w:r>
              <w:rPr>
                <w:b/>
                <w:bCs/>
                <w:color w:val="000000"/>
                <w:sz w:val="18"/>
                <w:szCs w:val="18"/>
              </w:rPr>
              <w:t>Ugovoreni iznos kredita (glavnica)</w:t>
            </w:r>
          </w:p>
        </w:tc>
        <w:tc>
          <w:tcPr>
            <w:tcW w:w="810" w:type="dxa"/>
            <w:tcBorders>
              <w:top w:val="single" w:sz="8" w:space="0" w:color="auto"/>
              <w:left w:val="nil"/>
              <w:bottom w:val="single" w:sz="8" w:space="0" w:color="auto"/>
              <w:right w:val="single" w:sz="8" w:space="0" w:color="auto"/>
            </w:tcBorders>
            <w:vAlign w:val="center"/>
            <w:hideMark/>
          </w:tcPr>
          <w:p w14:paraId="0D7D46C4" w14:textId="2C5F9D6C" w:rsidR="00AF5C09" w:rsidRPr="00AF5C09" w:rsidRDefault="00AF5C09" w:rsidP="00AF5C09">
            <w:pPr>
              <w:rPr>
                <w:b/>
                <w:bCs/>
              </w:rPr>
            </w:pPr>
            <w:r>
              <w:rPr>
                <w:b/>
                <w:bCs/>
                <w:color w:val="000000"/>
                <w:sz w:val="18"/>
                <w:szCs w:val="18"/>
              </w:rPr>
              <w:t>Rok vraćanja kredita</w:t>
            </w:r>
          </w:p>
        </w:tc>
        <w:tc>
          <w:tcPr>
            <w:tcW w:w="924" w:type="dxa"/>
            <w:tcBorders>
              <w:top w:val="single" w:sz="8" w:space="0" w:color="auto"/>
              <w:left w:val="nil"/>
              <w:bottom w:val="single" w:sz="8" w:space="0" w:color="auto"/>
              <w:right w:val="single" w:sz="8" w:space="0" w:color="auto"/>
            </w:tcBorders>
            <w:vAlign w:val="center"/>
            <w:hideMark/>
          </w:tcPr>
          <w:p w14:paraId="1A108028" w14:textId="550FB305" w:rsidR="00AF5C09" w:rsidRPr="00AF5C09" w:rsidRDefault="00AF5C09" w:rsidP="00AF5C09">
            <w:pPr>
              <w:rPr>
                <w:b/>
                <w:bCs/>
              </w:rPr>
            </w:pPr>
            <w:r>
              <w:rPr>
                <w:b/>
                <w:bCs/>
                <w:color w:val="000000"/>
                <w:sz w:val="18"/>
                <w:szCs w:val="18"/>
              </w:rPr>
              <w:t>Rok vraćanja kredita</w:t>
            </w:r>
          </w:p>
        </w:tc>
        <w:tc>
          <w:tcPr>
            <w:tcW w:w="847" w:type="dxa"/>
            <w:tcBorders>
              <w:top w:val="single" w:sz="8" w:space="0" w:color="auto"/>
              <w:left w:val="nil"/>
              <w:bottom w:val="single" w:sz="8" w:space="0" w:color="auto"/>
              <w:right w:val="single" w:sz="8" w:space="0" w:color="auto"/>
            </w:tcBorders>
            <w:vAlign w:val="center"/>
            <w:hideMark/>
          </w:tcPr>
          <w:p w14:paraId="061145CB" w14:textId="6551F025" w:rsidR="00AF5C09" w:rsidRPr="00AF5C09" w:rsidRDefault="00AF5C09" w:rsidP="00AF5C09">
            <w:pPr>
              <w:rPr>
                <w:b/>
                <w:bCs/>
              </w:rPr>
            </w:pPr>
            <w:r>
              <w:rPr>
                <w:b/>
                <w:bCs/>
                <w:color w:val="000000"/>
                <w:sz w:val="18"/>
                <w:szCs w:val="18"/>
              </w:rPr>
              <w:t>Kamatna stopa</w:t>
            </w:r>
          </w:p>
        </w:tc>
        <w:tc>
          <w:tcPr>
            <w:tcW w:w="1182" w:type="dxa"/>
            <w:tcBorders>
              <w:top w:val="single" w:sz="8" w:space="0" w:color="auto"/>
              <w:left w:val="nil"/>
              <w:bottom w:val="single" w:sz="8" w:space="0" w:color="auto"/>
              <w:right w:val="single" w:sz="8" w:space="0" w:color="auto"/>
            </w:tcBorders>
            <w:vAlign w:val="center"/>
            <w:hideMark/>
          </w:tcPr>
          <w:p w14:paraId="5FAF2641" w14:textId="491B67E1" w:rsidR="00AF5C09" w:rsidRPr="00AF5C09" w:rsidRDefault="00AF5C09" w:rsidP="00AF5C09">
            <w:pPr>
              <w:rPr>
                <w:b/>
                <w:bCs/>
              </w:rPr>
            </w:pPr>
            <w:r>
              <w:rPr>
                <w:b/>
                <w:bCs/>
                <w:color w:val="000000"/>
                <w:sz w:val="18"/>
                <w:szCs w:val="18"/>
              </w:rPr>
              <w:t>Namjena</w:t>
            </w:r>
          </w:p>
        </w:tc>
        <w:tc>
          <w:tcPr>
            <w:tcW w:w="1132" w:type="dxa"/>
            <w:tcBorders>
              <w:top w:val="single" w:sz="8" w:space="0" w:color="auto"/>
              <w:left w:val="nil"/>
              <w:bottom w:val="single" w:sz="8" w:space="0" w:color="auto"/>
              <w:right w:val="single" w:sz="8" w:space="0" w:color="auto"/>
            </w:tcBorders>
            <w:vAlign w:val="center"/>
            <w:hideMark/>
          </w:tcPr>
          <w:p w14:paraId="5D5B7D94" w14:textId="5CC126DA" w:rsidR="00AF5C09" w:rsidRPr="00AF5C09" w:rsidRDefault="00AF5C09" w:rsidP="00AF5C09">
            <w:pPr>
              <w:rPr>
                <w:b/>
                <w:bCs/>
              </w:rPr>
            </w:pPr>
            <w:r>
              <w:rPr>
                <w:b/>
                <w:bCs/>
                <w:color w:val="000000"/>
                <w:sz w:val="18"/>
                <w:szCs w:val="18"/>
              </w:rPr>
              <w:t>Stanje obveza po kreditu na dan 31.12.2025.. (</w:t>
            </w:r>
            <w:proofErr w:type="spellStart"/>
            <w:r>
              <w:rPr>
                <w:b/>
                <w:bCs/>
                <w:color w:val="000000"/>
                <w:sz w:val="18"/>
                <w:szCs w:val="18"/>
              </w:rPr>
              <w:t>eur</w:t>
            </w:r>
            <w:proofErr w:type="spellEnd"/>
            <w:r>
              <w:rPr>
                <w:b/>
                <w:bCs/>
                <w:color w:val="000000"/>
                <w:sz w:val="18"/>
                <w:szCs w:val="18"/>
              </w:rPr>
              <w:t>)</w:t>
            </w:r>
          </w:p>
        </w:tc>
      </w:tr>
      <w:tr w:rsidR="00AF5C09" w:rsidRPr="00AF5C09" w14:paraId="65DBBE54" w14:textId="77777777" w:rsidTr="000D2576">
        <w:trPr>
          <w:trHeight w:val="315"/>
        </w:trPr>
        <w:tc>
          <w:tcPr>
            <w:tcW w:w="1020" w:type="dxa"/>
            <w:tcBorders>
              <w:top w:val="nil"/>
              <w:left w:val="single" w:sz="8" w:space="0" w:color="auto"/>
              <w:bottom w:val="single" w:sz="8" w:space="0" w:color="auto"/>
              <w:right w:val="single" w:sz="8" w:space="0" w:color="auto"/>
            </w:tcBorders>
            <w:vAlign w:val="center"/>
            <w:hideMark/>
          </w:tcPr>
          <w:p w14:paraId="469B09BF" w14:textId="076B5F82" w:rsidR="00AF5C09" w:rsidRPr="00AF5C09" w:rsidRDefault="00AF5C09" w:rsidP="00AF5C09">
            <w:r>
              <w:rPr>
                <w:color w:val="000000"/>
                <w:sz w:val="18"/>
                <w:szCs w:val="18"/>
              </w:rPr>
              <w:t>1</w:t>
            </w:r>
          </w:p>
        </w:tc>
        <w:tc>
          <w:tcPr>
            <w:tcW w:w="1091" w:type="dxa"/>
            <w:tcBorders>
              <w:top w:val="nil"/>
              <w:left w:val="nil"/>
              <w:bottom w:val="single" w:sz="8" w:space="0" w:color="auto"/>
              <w:right w:val="single" w:sz="8" w:space="0" w:color="auto"/>
            </w:tcBorders>
            <w:vAlign w:val="center"/>
            <w:hideMark/>
          </w:tcPr>
          <w:p w14:paraId="44D1B828" w14:textId="36A711DB" w:rsidR="00AF5C09" w:rsidRPr="00AF5C09" w:rsidRDefault="00AF5C09" w:rsidP="00AF5C09">
            <w:r>
              <w:rPr>
                <w:color w:val="000000"/>
                <w:sz w:val="18"/>
                <w:szCs w:val="18"/>
              </w:rPr>
              <w:t>2</w:t>
            </w:r>
          </w:p>
        </w:tc>
        <w:tc>
          <w:tcPr>
            <w:tcW w:w="1000" w:type="dxa"/>
            <w:tcBorders>
              <w:top w:val="nil"/>
              <w:left w:val="nil"/>
              <w:bottom w:val="single" w:sz="8" w:space="0" w:color="auto"/>
              <w:right w:val="single" w:sz="8" w:space="0" w:color="auto"/>
            </w:tcBorders>
            <w:vAlign w:val="center"/>
            <w:hideMark/>
          </w:tcPr>
          <w:p w14:paraId="3C92B338" w14:textId="30D75DDA" w:rsidR="00AF5C09" w:rsidRPr="00AF5C09" w:rsidRDefault="00AF5C09" w:rsidP="00AF5C09">
            <w:r>
              <w:rPr>
                <w:color w:val="000000"/>
                <w:sz w:val="18"/>
                <w:szCs w:val="18"/>
              </w:rPr>
              <w:t>3</w:t>
            </w:r>
          </w:p>
        </w:tc>
        <w:tc>
          <w:tcPr>
            <w:tcW w:w="1132" w:type="dxa"/>
            <w:tcBorders>
              <w:top w:val="nil"/>
              <w:left w:val="nil"/>
              <w:bottom w:val="single" w:sz="8" w:space="0" w:color="auto"/>
              <w:right w:val="single" w:sz="8" w:space="0" w:color="auto"/>
            </w:tcBorders>
            <w:vAlign w:val="center"/>
            <w:hideMark/>
          </w:tcPr>
          <w:p w14:paraId="62F23944" w14:textId="73A43427" w:rsidR="00AF5C09" w:rsidRPr="00AF5C09" w:rsidRDefault="00AF5C09" w:rsidP="00AF5C09">
            <w:r>
              <w:rPr>
                <w:color w:val="000000"/>
                <w:sz w:val="18"/>
                <w:szCs w:val="18"/>
              </w:rPr>
              <w:t>4</w:t>
            </w:r>
          </w:p>
        </w:tc>
        <w:tc>
          <w:tcPr>
            <w:tcW w:w="810" w:type="dxa"/>
            <w:tcBorders>
              <w:top w:val="nil"/>
              <w:left w:val="nil"/>
              <w:bottom w:val="single" w:sz="8" w:space="0" w:color="auto"/>
              <w:right w:val="single" w:sz="8" w:space="0" w:color="auto"/>
            </w:tcBorders>
            <w:vAlign w:val="center"/>
            <w:hideMark/>
          </w:tcPr>
          <w:p w14:paraId="018BE250" w14:textId="0C9CB98F" w:rsidR="00AF5C09" w:rsidRPr="00AF5C09" w:rsidRDefault="00AF5C09" w:rsidP="00AF5C09">
            <w:r>
              <w:rPr>
                <w:color w:val="000000"/>
                <w:sz w:val="18"/>
                <w:szCs w:val="18"/>
              </w:rPr>
              <w:t>5</w:t>
            </w:r>
          </w:p>
        </w:tc>
        <w:tc>
          <w:tcPr>
            <w:tcW w:w="924" w:type="dxa"/>
            <w:tcBorders>
              <w:top w:val="nil"/>
              <w:left w:val="nil"/>
              <w:bottom w:val="single" w:sz="8" w:space="0" w:color="auto"/>
              <w:right w:val="single" w:sz="8" w:space="0" w:color="auto"/>
            </w:tcBorders>
            <w:vAlign w:val="center"/>
            <w:hideMark/>
          </w:tcPr>
          <w:p w14:paraId="6E75CD29" w14:textId="2B029A26" w:rsidR="00AF5C09" w:rsidRPr="00AF5C09" w:rsidRDefault="00AF5C09" w:rsidP="00AF5C09">
            <w:r>
              <w:rPr>
                <w:color w:val="000000"/>
                <w:sz w:val="18"/>
                <w:szCs w:val="18"/>
              </w:rPr>
              <w:t>6</w:t>
            </w:r>
          </w:p>
        </w:tc>
        <w:tc>
          <w:tcPr>
            <w:tcW w:w="847" w:type="dxa"/>
            <w:tcBorders>
              <w:top w:val="nil"/>
              <w:left w:val="nil"/>
              <w:bottom w:val="single" w:sz="8" w:space="0" w:color="auto"/>
              <w:right w:val="single" w:sz="8" w:space="0" w:color="auto"/>
            </w:tcBorders>
            <w:vAlign w:val="center"/>
            <w:hideMark/>
          </w:tcPr>
          <w:p w14:paraId="384C7D48" w14:textId="46D1052B" w:rsidR="00AF5C09" w:rsidRPr="00AF5C09" w:rsidRDefault="00AF5C09" w:rsidP="00AF5C09">
            <w:r>
              <w:rPr>
                <w:color w:val="000000"/>
                <w:sz w:val="18"/>
                <w:szCs w:val="18"/>
              </w:rPr>
              <w:t>7</w:t>
            </w:r>
          </w:p>
        </w:tc>
        <w:tc>
          <w:tcPr>
            <w:tcW w:w="1182" w:type="dxa"/>
            <w:tcBorders>
              <w:top w:val="nil"/>
              <w:left w:val="nil"/>
              <w:bottom w:val="single" w:sz="8" w:space="0" w:color="auto"/>
              <w:right w:val="single" w:sz="8" w:space="0" w:color="auto"/>
            </w:tcBorders>
            <w:vAlign w:val="center"/>
            <w:hideMark/>
          </w:tcPr>
          <w:p w14:paraId="696EFB03" w14:textId="728F7DDE" w:rsidR="00AF5C09" w:rsidRPr="00AF5C09" w:rsidRDefault="00AF5C09" w:rsidP="00AF5C09">
            <w:r>
              <w:rPr>
                <w:color w:val="000000"/>
                <w:sz w:val="18"/>
                <w:szCs w:val="18"/>
              </w:rPr>
              <w:t>8</w:t>
            </w:r>
          </w:p>
        </w:tc>
        <w:tc>
          <w:tcPr>
            <w:tcW w:w="1132" w:type="dxa"/>
            <w:tcBorders>
              <w:top w:val="nil"/>
              <w:left w:val="nil"/>
              <w:bottom w:val="single" w:sz="8" w:space="0" w:color="auto"/>
              <w:right w:val="single" w:sz="8" w:space="0" w:color="auto"/>
            </w:tcBorders>
            <w:vAlign w:val="center"/>
            <w:hideMark/>
          </w:tcPr>
          <w:p w14:paraId="61A08358" w14:textId="7A79FECE" w:rsidR="00AF5C09" w:rsidRPr="00AF5C09" w:rsidRDefault="00AF5C09" w:rsidP="00AF5C09">
            <w:r>
              <w:rPr>
                <w:color w:val="000000"/>
                <w:sz w:val="18"/>
                <w:szCs w:val="18"/>
              </w:rPr>
              <w:t>15</w:t>
            </w:r>
          </w:p>
        </w:tc>
      </w:tr>
      <w:tr w:rsidR="00AF5C09" w:rsidRPr="00AF5C09" w14:paraId="42D88CF1" w14:textId="77777777" w:rsidTr="000D2576">
        <w:trPr>
          <w:trHeight w:val="300"/>
        </w:trPr>
        <w:tc>
          <w:tcPr>
            <w:tcW w:w="1020" w:type="dxa"/>
            <w:tcBorders>
              <w:top w:val="nil"/>
              <w:left w:val="single" w:sz="8" w:space="0" w:color="auto"/>
              <w:bottom w:val="nil"/>
              <w:right w:val="single" w:sz="8" w:space="0" w:color="auto"/>
            </w:tcBorders>
            <w:vAlign w:val="center"/>
            <w:hideMark/>
          </w:tcPr>
          <w:p w14:paraId="3A2183EB" w14:textId="3A105AD3" w:rsidR="00AF5C09" w:rsidRPr="00AF5C09" w:rsidRDefault="00AF5C09" w:rsidP="00AF5C09">
            <w:r>
              <w:rPr>
                <w:color w:val="000000"/>
                <w:sz w:val="18"/>
                <w:szCs w:val="18"/>
              </w:rPr>
              <w:t> </w:t>
            </w:r>
          </w:p>
        </w:tc>
        <w:tc>
          <w:tcPr>
            <w:tcW w:w="1091" w:type="dxa"/>
            <w:tcBorders>
              <w:top w:val="nil"/>
              <w:left w:val="nil"/>
              <w:bottom w:val="nil"/>
              <w:right w:val="single" w:sz="8" w:space="0" w:color="auto"/>
            </w:tcBorders>
            <w:vAlign w:val="center"/>
            <w:hideMark/>
          </w:tcPr>
          <w:p w14:paraId="32CE9B53" w14:textId="6374148A" w:rsidR="00AF5C09" w:rsidRPr="00AF5C09" w:rsidRDefault="00AF5C09" w:rsidP="00AF5C09">
            <w:r>
              <w:rPr>
                <w:color w:val="000000"/>
                <w:sz w:val="18"/>
                <w:szCs w:val="18"/>
              </w:rPr>
              <w:t> </w:t>
            </w:r>
          </w:p>
        </w:tc>
        <w:tc>
          <w:tcPr>
            <w:tcW w:w="1000" w:type="dxa"/>
            <w:tcBorders>
              <w:top w:val="nil"/>
              <w:left w:val="nil"/>
              <w:bottom w:val="nil"/>
              <w:right w:val="single" w:sz="8" w:space="0" w:color="auto"/>
            </w:tcBorders>
            <w:vAlign w:val="center"/>
            <w:hideMark/>
          </w:tcPr>
          <w:p w14:paraId="3B298789" w14:textId="26ADB17B" w:rsidR="00AF5C09" w:rsidRPr="00AF5C09" w:rsidRDefault="00AF5C09" w:rsidP="00AF5C09">
            <w:r>
              <w:rPr>
                <w:color w:val="000000"/>
                <w:sz w:val="18"/>
                <w:szCs w:val="18"/>
              </w:rPr>
              <w:t> </w:t>
            </w:r>
          </w:p>
        </w:tc>
        <w:tc>
          <w:tcPr>
            <w:tcW w:w="1132" w:type="dxa"/>
            <w:tcBorders>
              <w:top w:val="nil"/>
              <w:left w:val="nil"/>
              <w:bottom w:val="nil"/>
              <w:right w:val="single" w:sz="8" w:space="0" w:color="auto"/>
            </w:tcBorders>
            <w:vAlign w:val="center"/>
            <w:hideMark/>
          </w:tcPr>
          <w:p w14:paraId="43415814" w14:textId="432F87DE" w:rsidR="00AF5C09" w:rsidRPr="00AF5C09" w:rsidRDefault="00AF5C09" w:rsidP="00AF5C09">
            <w:r>
              <w:rPr>
                <w:color w:val="000000"/>
                <w:sz w:val="18"/>
                <w:szCs w:val="18"/>
              </w:rPr>
              <w:t> </w:t>
            </w:r>
          </w:p>
        </w:tc>
        <w:tc>
          <w:tcPr>
            <w:tcW w:w="810" w:type="dxa"/>
            <w:tcBorders>
              <w:top w:val="nil"/>
              <w:left w:val="nil"/>
              <w:bottom w:val="nil"/>
              <w:right w:val="single" w:sz="8" w:space="0" w:color="auto"/>
            </w:tcBorders>
            <w:vAlign w:val="center"/>
            <w:hideMark/>
          </w:tcPr>
          <w:p w14:paraId="3CDCD1C8" w14:textId="65BD5625" w:rsidR="00AF5C09" w:rsidRPr="00AF5C09" w:rsidRDefault="00AF5C09" w:rsidP="00AF5C09">
            <w:r>
              <w:rPr>
                <w:color w:val="000000"/>
                <w:sz w:val="18"/>
                <w:szCs w:val="18"/>
              </w:rPr>
              <w:t> </w:t>
            </w:r>
          </w:p>
        </w:tc>
        <w:tc>
          <w:tcPr>
            <w:tcW w:w="924" w:type="dxa"/>
            <w:tcBorders>
              <w:top w:val="nil"/>
              <w:left w:val="nil"/>
              <w:bottom w:val="nil"/>
              <w:right w:val="single" w:sz="8" w:space="0" w:color="auto"/>
            </w:tcBorders>
            <w:vAlign w:val="center"/>
            <w:hideMark/>
          </w:tcPr>
          <w:p w14:paraId="7E68A950" w14:textId="046E5ED8" w:rsidR="00AF5C09" w:rsidRPr="00AF5C09" w:rsidRDefault="00AF5C09" w:rsidP="00AF5C09">
            <w:r>
              <w:rPr>
                <w:color w:val="000000"/>
                <w:sz w:val="18"/>
                <w:szCs w:val="18"/>
              </w:rPr>
              <w:t> </w:t>
            </w:r>
          </w:p>
        </w:tc>
        <w:tc>
          <w:tcPr>
            <w:tcW w:w="847" w:type="dxa"/>
            <w:tcBorders>
              <w:top w:val="nil"/>
              <w:left w:val="nil"/>
              <w:bottom w:val="nil"/>
              <w:right w:val="single" w:sz="8" w:space="0" w:color="auto"/>
            </w:tcBorders>
            <w:vAlign w:val="center"/>
            <w:hideMark/>
          </w:tcPr>
          <w:p w14:paraId="10346318" w14:textId="42049D85" w:rsidR="00AF5C09" w:rsidRPr="00AF5C09" w:rsidRDefault="00AF5C09" w:rsidP="00AF5C09">
            <w:r>
              <w:rPr>
                <w:color w:val="000000"/>
                <w:sz w:val="18"/>
                <w:szCs w:val="18"/>
              </w:rPr>
              <w:t> </w:t>
            </w:r>
          </w:p>
        </w:tc>
        <w:tc>
          <w:tcPr>
            <w:tcW w:w="1182" w:type="dxa"/>
            <w:tcBorders>
              <w:top w:val="nil"/>
              <w:left w:val="nil"/>
              <w:bottom w:val="nil"/>
              <w:right w:val="single" w:sz="8" w:space="0" w:color="auto"/>
            </w:tcBorders>
            <w:vAlign w:val="center"/>
            <w:hideMark/>
          </w:tcPr>
          <w:p w14:paraId="44CA3B1A" w14:textId="32A70F0D" w:rsidR="00AF5C09" w:rsidRPr="00AF5C09" w:rsidRDefault="00AF5C09" w:rsidP="00AF5C09">
            <w:r>
              <w:rPr>
                <w:color w:val="000000"/>
                <w:sz w:val="18"/>
                <w:szCs w:val="18"/>
              </w:rPr>
              <w:t> </w:t>
            </w:r>
          </w:p>
        </w:tc>
        <w:tc>
          <w:tcPr>
            <w:tcW w:w="1132" w:type="dxa"/>
            <w:tcBorders>
              <w:top w:val="nil"/>
              <w:left w:val="nil"/>
              <w:bottom w:val="nil"/>
              <w:right w:val="single" w:sz="8" w:space="0" w:color="auto"/>
            </w:tcBorders>
            <w:vAlign w:val="center"/>
            <w:hideMark/>
          </w:tcPr>
          <w:p w14:paraId="1D4A34CE" w14:textId="6CF45566" w:rsidR="00AF5C09" w:rsidRPr="00AF5C09" w:rsidRDefault="00AF5C09" w:rsidP="00AF5C09">
            <w:r>
              <w:rPr>
                <w:color w:val="000000"/>
                <w:sz w:val="18"/>
                <w:szCs w:val="18"/>
              </w:rPr>
              <w:t> </w:t>
            </w:r>
          </w:p>
        </w:tc>
      </w:tr>
      <w:tr w:rsidR="00AF5C09" w:rsidRPr="00AF5C09" w14:paraId="4A599549" w14:textId="77777777" w:rsidTr="000D2576">
        <w:trPr>
          <w:trHeight w:val="2316"/>
        </w:trPr>
        <w:tc>
          <w:tcPr>
            <w:tcW w:w="1020" w:type="dxa"/>
            <w:tcBorders>
              <w:top w:val="nil"/>
              <w:left w:val="single" w:sz="8" w:space="0" w:color="auto"/>
              <w:bottom w:val="single" w:sz="8" w:space="0" w:color="auto"/>
              <w:right w:val="single" w:sz="8" w:space="0" w:color="auto"/>
            </w:tcBorders>
            <w:vAlign w:val="center"/>
            <w:hideMark/>
          </w:tcPr>
          <w:p w14:paraId="08A3C5AE" w14:textId="7CC5E605" w:rsidR="00AF5C09" w:rsidRPr="00AF5C09" w:rsidRDefault="00AF5C09" w:rsidP="00AF5C09">
            <w:r>
              <w:rPr>
                <w:color w:val="000000"/>
                <w:sz w:val="18"/>
                <w:szCs w:val="18"/>
              </w:rPr>
              <w:t>HBOR</w:t>
            </w:r>
          </w:p>
        </w:tc>
        <w:tc>
          <w:tcPr>
            <w:tcW w:w="1091" w:type="dxa"/>
            <w:tcBorders>
              <w:top w:val="nil"/>
              <w:left w:val="nil"/>
              <w:bottom w:val="single" w:sz="8" w:space="0" w:color="auto"/>
              <w:right w:val="single" w:sz="8" w:space="0" w:color="auto"/>
            </w:tcBorders>
            <w:vAlign w:val="center"/>
            <w:hideMark/>
          </w:tcPr>
          <w:p w14:paraId="0DE36CAC" w14:textId="2399C023" w:rsidR="00AF5C09" w:rsidRPr="00AF5C09" w:rsidRDefault="00AF5C09" w:rsidP="00AF5C09">
            <w:r>
              <w:rPr>
                <w:color w:val="000000"/>
                <w:sz w:val="18"/>
                <w:szCs w:val="18"/>
              </w:rPr>
              <w:t>12.4.2019.</w:t>
            </w:r>
          </w:p>
        </w:tc>
        <w:tc>
          <w:tcPr>
            <w:tcW w:w="1000" w:type="dxa"/>
            <w:tcBorders>
              <w:top w:val="nil"/>
              <w:left w:val="nil"/>
              <w:bottom w:val="single" w:sz="8" w:space="0" w:color="auto"/>
              <w:right w:val="single" w:sz="8" w:space="0" w:color="auto"/>
            </w:tcBorders>
            <w:vAlign w:val="center"/>
            <w:hideMark/>
          </w:tcPr>
          <w:p w14:paraId="68CCA865" w14:textId="54528D10" w:rsidR="00AF5C09" w:rsidRPr="00AF5C09" w:rsidRDefault="00AF5C09" w:rsidP="00AF5C09">
            <w:r>
              <w:rPr>
                <w:color w:val="000000"/>
                <w:sz w:val="18"/>
                <w:szCs w:val="18"/>
              </w:rPr>
              <w:t>4.6.2019.</w:t>
            </w:r>
          </w:p>
        </w:tc>
        <w:tc>
          <w:tcPr>
            <w:tcW w:w="1132" w:type="dxa"/>
            <w:tcBorders>
              <w:top w:val="nil"/>
              <w:left w:val="nil"/>
              <w:bottom w:val="single" w:sz="8" w:space="0" w:color="auto"/>
              <w:right w:val="single" w:sz="8" w:space="0" w:color="auto"/>
            </w:tcBorders>
            <w:vAlign w:val="center"/>
            <w:hideMark/>
          </w:tcPr>
          <w:p w14:paraId="0E652773" w14:textId="0D6F0AC8" w:rsidR="00AF5C09" w:rsidRPr="00AF5C09" w:rsidRDefault="00AF5C09" w:rsidP="00AF5C09">
            <w:r>
              <w:rPr>
                <w:color w:val="000000"/>
                <w:sz w:val="18"/>
                <w:szCs w:val="18"/>
              </w:rPr>
              <w:t>463.182,69</w:t>
            </w:r>
          </w:p>
        </w:tc>
        <w:tc>
          <w:tcPr>
            <w:tcW w:w="810" w:type="dxa"/>
            <w:tcBorders>
              <w:top w:val="nil"/>
              <w:left w:val="nil"/>
              <w:bottom w:val="single" w:sz="8" w:space="0" w:color="auto"/>
              <w:right w:val="single" w:sz="8" w:space="0" w:color="auto"/>
            </w:tcBorders>
            <w:vAlign w:val="center"/>
            <w:hideMark/>
          </w:tcPr>
          <w:p w14:paraId="59A72AD0" w14:textId="4DCD6773" w:rsidR="00AF5C09" w:rsidRPr="00AF5C09" w:rsidRDefault="00AF5C09" w:rsidP="00AF5C09">
            <w:r>
              <w:rPr>
                <w:color w:val="000000"/>
                <w:sz w:val="18"/>
                <w:szCs w:val="18"/>
              </w:rPr>
              <w:t>2025.</w:t>
            </w:r>
          </w:p>
        </w:tc>
        <w:tc>
          <w:tcPr>
            <w:tcW w:w="924" w:type="dxa"/>
            <w:tcBorders>
              <w:top w:val="nil"/>
              <w:left w:val="nil"/>
              <w:bottom w:val="single" w:sz="8" w:space="0" w:color="auto"/>
              <w:right w:val="single" w:sz="8" w:space="0" w:color="auto"/>
            </w:tcBorders>
            <w:vAlign w:val="center"/>
            <w:hideMark/>
          </w:tcPr>
          <w:p w14:paraId="7D2244B3" w14:textId="03D3D8CB" w:rsidR="00AF5C09" w:rsidRPr="00AF5C09" w:rsidRDefault="00AF5C09" w:rsidP="00AF5C09">
            <w:r>
              <w:rPr>
                <w:color w:val="000000"/>
                <w:sz w:val="18"/>
                <w:szCs w:val="18"/>
              </w:rPr>
              <w:t>fiksna 0,5% nominalna, 0,5% efektivna</w:t>
            </w:r>
          </w:p>
        </w:tc>
        <w:tc>
          <w:tcPr>
            <w:tcW w:w="847" w:type="dxa"/>
            <w:tcBorders>
              <w:top w:val="nil"/>
              <w:left w:val="nil"/>
              <w:bottom w:val="single" w:sz="8" w:space="0" w:color="auto"/>
              <w:right w:val="single" w:sz="8" w:space="0" w:color="auto"/>
            </w:tcBorders>
            <w:vAlign w:val="center"/>
            <w:hideMark/>
          </w:tcPr>
          <w:p w14:paraId="26B290BF" w14:textId="713FEAB4" w:rsidR="00AF5C09" w:rsidRPr="00AF5C09" w:rsidRDefault="00AF5C09" w:rsidP="00AF5C09">
            <w:r>
              <w:rPr>
                <w:color w:val="000000"/>
                <w:sz w:val="18"/>
                <w:szCs w:val="18"/>
              </w:rPr>
              <w:t>EUR</w:t>
            </w:r>
          </w:p>
        </w:tc>
        <w:tc>
          <w:tcPr>
            <w:tcW w:w="1182" w:type="dxa"/>
            <w:tcBorders>
              <w:top w:val="nil"/>
              <w:left w:val="nil"/>
              <w:bottom w:val="single" w:sz="8" w:space="0" w:color="auto"/>
              <w:right w:val="single" w:sz="8" w:space="0" w:color="auto"/>
            </w:tcBorders>
            <w:vAlign w:val="center"/>
            <w:hideMark/>
          </w:tcPr>
          <w:p w14:paraId="2B67C3D5" w14:textId="15766BAA" w:rsidR="00AF5C09" w:rsidRPr="00AF5C09" w:rsidRDefault="00AF5C09" w:rsidP="00AF5C09">
            <w:r>
              <w:rPr>
                <w:color w:val="000000"/>
                <w:sz w:val="18"/>
                <w:szCs w:val="18"/>
              </w:rPr>
              <w:t>Energetska obnova osnovnih škola i dječjih vrtića (OŠ Vijenac, OŠ Mladost, DV Latica,  DV Potočnica)</w:t>
            </w:r>
          </w:p>
        </w:tc>
        <w:tc>
          <w:tcPr>
            <w:tcW w:w="1132" w:type="dxa"/>
            <w:tcBorders>
              <w:top w:val="nil"/>
              <w:left w:val="nil"/>
              <w:bottom w:val="single" w:sz="8" w:space="0" w:color="auto"/>
              <w:right w:val="single" w:sz="8" w:space="0" w:color="auto"/>
            </w:tcBorders>
            <w:vAlign w:val="center"/>
            <w:hideMark/>
          </w:tcPr>
          <w:p w14:paraId="46D0910E" w14:textId="3D8FD77F" w:rsidR="00AF5C09" w:rsidRPr="00AF5C09" w:rsidRDefault="00AF5C09" w:rsidP="00AF5C09">
            <w:r>
              <w:rPr>
                <w:color w:val="000000"/>
                <w:sz w:val="18"/>
                <w:szCs w:val="18"/>
              </w:rPr>
              <w:t>0</w:t>
            </w:r>
          </w:p>
        </w:tc>
      </w:tr>
      <w:tr w:rsidR="00AF5C09" w:rsidRPr="00AF5C09" w14:paraId="6BFD4EF3" w14:textId="77777777" w:rsidTr="000D2576">
        <w:trPr>
          <w:trHeight w:val="300"/>
        </w:trPr>
        <w:tc>
          <w:tcPr>
            <w:tcW w:w="1020" w:type="dxa"/>
            <w:tcBorders>
              <w:top w:val="nil"/>
              <w:left w:val="single" w:sz="8" w:space="0" w:color="auto"/>
              <w:bottom w:val="nil"/>
              <w:right w:val="single" w:sz="8" w:space="0" w:color="auto"/>
            </w:tcBorders>
            <w:vAlign w:val="center"/>
            <w:hideMark/>
          </w:tcPr>
          <w:p w14:paraId="69C0EB22" w14:textId="21BB15CA" w:rsidR="00AF5C09" w:rsidRPr="00AF5C09" w:rsidRDefault="00AF5C09" w:rsidP="00AF5C09">
            <w:r>
              <w:rPr>
                <w:color w:val="000000"/>
                <w:sz w:val="18"/>
                <w:szCs w:val="18"/>
              </w:rPr>
              <w:t> </w:t>
            </w:r>
          </w:p>
        </w:tc>
        <w:tc>
          <w:tcPr>
            <w:tcW w:w="1091" w:type="dxa"/>
            <w:tcBorders>
              <w:top w:val="nil"/>
              <w:left w:val="nil"/>
              <w:bottom w:val="nil"/>
              <w:right w:val="single" w:sz="8" w:space="0" w:color="auto"/>
            </w:tcBorders>
            <w:vAlign w:val="center"/>
            <w:hideMark/>
          </w:tcPr>
          <w:p w14:paraId="29095A7C" w14:textId="205A5A75" w:rsidR="00AF5C09" w:rsidRPr="00AF5C09" w:rsidRDefault="00AF5C09" w:rsidP="00AF5C09">
            <w:r>
              <w:rPr>
                <w:color w:val="000000"/>
                <w:sz w:val="18"/>
                <w:szCs w:val="18"/>
              </w:rPr>
              <w:t> </w:t>
            </w:r>
          </w:p>
        </w:tc>
        <w:tc>
          <w:tcPr>
            <w:tcW w:w="1000" w:type="dxa"/>
            <w:tcBorders>
              <w:top w:val="nil"/>
              <w:left w:val="nil"/>
              <w:bottom w:val="nil"/>
              <w:right w:val="single" w:sz="8" w:space="0" w:color="auto"/>
            </w:tcBorders>
            <w:vAlign w:val="center"/>
            <w:hideMark/>
          </w:tcPr>
          <w:p w14:paraId="66E1066F" w14:textId="367D2363" w:rsidR="00AF5C09" w:rsidRPr="00AF5C09" w:rsidRDefault="00AF5C09" w:rsidP="00AF5C09">
            <w:r>
              <w:rPr>
                <w:color w:val="000000"/>
                <w:sz w:val="18"/>
                <w:szCs w:val="18"/>
              </w:rPr>
              <w:t> </w:t>
            </w:r>
          </w:p>
        </w:tc>
        <w:tc>
          <w:tcPr>
            <w:tcW w:w="1132" w:type="dxa"/>
            <w:tcBorders>
              <w:top w:val="nil"/>
              <w:left w:val="nil"/>
              <w:bottom w:val="nil"/>
              <w:right w:val="single" w:sz="8" w:space="0" w:color="auto"/>
            </w:tcBorders>
            <w:vAlign w:val="center"/>
            <w:hideMark/>
          </w:tcPr>
          <w:p w14:paraId="61C0C3C9" w14:textId="568B52AE" w:rsidR="00AF5C09" w:rsidRPr="00AF5C09" w:rsidRDefault="00AF5C09" w:rsidP="00AF5C09">
            <w:r>
              <w:rPr>
                <w:color w:val="000000"/>
                <w:sz w:val="18"/>
                <w:szCs w:val="18"/>
              </w:rPr>
              <w:t> </w:t>
            </w:r>
          </w:p>
        </w:tc>
        <w:tc>
          <w:tcPr>
            <w:tcW w:w="810" w:type="dxa"/>
            <w:tcBorders>
              <w:top w:val="nil"/>
              <w:left w:val="nil"/>
              <w:bottom w:val="nil"/>
              <w:right w:val="single" w:sz="8" w:space="0" w:color="auto"/>
            </w:tcBorders>
            <w:vAlign w:val="center"/>
            <w:hideMark/>
          </w:tcPr>
          <w:p w14:paraId="3B23F2B3" w14:textId="409E0DBC" w:rsidR="00AF5C09" w:rsidRPr="00AF5C09" w:rsidRDefault="00AF5C09" w:rsidP="00AF5C09">
            <w:r>
              <w:rPr>
                <w:color w:val="000000"/>
                <w:sz w:val="18"/>
                <w:szCs w:val="18"/>
              </w:rPr>
              <w:t> </w:t>
            </w:r>
          </w:p>
        </w:tc>
        <w:tc>
          <w:tcPr>
            <w:tcW w:w="924" w:type="dxa"/>
            <w:tcBorders>
              <w:top w:val="nil"/>
              <w:left w:val="nil"/>
              <w:bottom w:val="nil"/>
              <w:right w:val="single" w:sz="8" w:space="0" w:color="auto"/>
            </w:tcBorders>
            <w:vAlign w:val="center"/>
            <w:hideMark/>
          </w:tcPr>
          <w:p w14:paraId="6D22A074" w14:textId="2D0D44B8" w:rsidR="00AF5C09" w:rsidRPr="00AF5C09" w:rsidRDefault="00AF5C09" w:rsidP="00AF5C09">
            <w:r>
              <w:rPr>
                <w:color w:val="000000"/>
                <w:sz w:val="18"/>
                <w:szCs w:val="18"/>
              </w:rPr>
              <w:t> </w:t>
            </w:r>
          </w:p>
        </w:tc>
        <w:tc>
          <w:tcPr>
            <w:tcW w:w="847" w:type="dxa"/>
            <w:tcBorders>
              <w:top w:val="nil"/>
              <w:left w:val="nil"/>
              <w:bottom w:val="nil"/>
              <w:right w:val="single" w:sz="8" w:space="0" w:color="auto"/>
            </w:tcBorders>
            <w:vAlign w:val="center"/>
            <w:hideMark/>
          </w:tcPr>
          <w:p w14:paraId="647283C4" w14:textId="5BF0541D" w:rsidR="00AF5C09" w:rsidRPr="00AF5C09" w:rsidRDefault="00AF5C09" w:rsidP="00AF5C09">
            <w:r>
              <w:rPr>
                <w:color w:val="000000"/>
                <w:sz w:val="18"/>
                <w:szCs w:val="18"/>
              </w:rPr>
              <w:t> </w:t>
            </w:r>
          </w:p>
        </w:tc>
        <w:tc>
          <w:tcPr>
            <w:tcW w:w="1182" w:type="dxa"/>
            <w:tcBorders>
              <w:top w:val="nil"/>
              <w:left w:val="nil"/>
              <w:bottom w:val="nil"/>
              <w:right w:val="single" w:sz="8" w:space="0" w:color="auto"/>
            </w:tcBorders>
            <w:vAlign w:val="center"/>
            <w:hideMark/>
          </w:tcPr>
          <w:p w14:paraId="1835D956" w14:textId="472056AF" w:rsidR="00AF5C09" w:rsidRPr="00AF5C09" w:rsidRDefault="00AF5C09" w:rsidP="00AF5C09">
            <w:r>
              <w:rPr>
                <w:color w:val="000000"/>
                <w:sz w:val="18"/>
                <w:szCs w:val="18"/>
              </w:rPr>
              <w:t> </w:t>
            </w:r>
          </w:p>
        </w:tc>
        <w:tc>
          <w:tcPr>
            <w:tcW w:w="1132" w:type="dxa"/>
            <w:tcBorders>
              <w:top w:val="nil"/>
              <w:left w:val="nil"/>
              <w:bottom w:val="nil"/>
              <w:right w:val="single" w:sz="8" w:space="0" w:color="auto"/>
            </w:tcBorders>
            <w:vAlign w:val="center"/>
            <w:hideMark/>
          </w:tcPr>
          <w:p w14:paraId="64DF77A1" w14:textId="2974C4FD" w:rsidR="00AF5C09" w:rsidRPr="00AF5C09" w:rsidRDefault="00AF5C09" w:rsidP="00AF5C09">
            <w:r>
              <w:rPr>
                <w:color w:val="000000"/>
                <w:sz w:val="18"/>
                <w:szCs w:val="18"/>
              </w:rPr>
              <w:t> </w:t>
            </w:r>
          </w:p>
        </w:tc>
      </w:tr>
      <w:tr w:rsidR="00AF5C09" w:rsidRPr="00AF5C09" w14:paraId="60A57B50" w14:textId="77777777" w:rsidTr="000D2576">
        <w:trPr>
          <w:trHeight w:val="977"/>
        </w:trPr>
        <w:tc>
          <w:tcPr>
            <w:tcW w:w="1020" w:type="dxa"/>
            <w:tcBorders>
              <w:top w:val="nil"/>
              <w:left w:val="single" w:sz="8" w:space="0" w:color="auto"/>
              <w:bottom w:val="single" w:sz="8" w:space="0" w:color="auto"/>
              <w:right w:val="single" w:sz="8" w:space="0" w:color="auto"/>
            </w:tcBorders>
            <w:vAlign w:val="center"/>
            <w:hideMark/>
          </w:tcPr>
          <w:p w14:paraId="6FCABCF5" w14:textId="0075EEE1" w:rsidR="00AF5C09" w:rsidRPr="00AF5C09" w:rsidRDefault="00AF5C09" w:rsidP="00AF5C09">
            <w:r>
              <w:rPr>
                <w:color w:val="000000"/>
                <w:sz w:val="18"/>
                <w:szCs w:val="18"/>
              </w:rPr>
              <w:t>Zagrebačka banka d.d.</w:t>
            </w:r>
          </w:p>
        </w:tc>
        <w:tc>
          <w:tcPr>
            <w:tcW w:w="1091" w:type="dxa"/>
            <w:tcBorders>
              <w:top w:val="nil"/>
              <w:left w:val="nil"/>
              <w:bottom w:val="single" w:sz="8" w:space="0" w:color="auto"/>
              <w:right w:val="single" w:sz="8" w:space="0" w:color="auto"/>
            </w:tcBorders>
            <w:vAlign w:val="center"/>
            <w:hideMark/>
          </w:tcPr>
          <w:p w14:paraId="4FBFE66F" w14:textId="5BF9E57C" w:rsidR="00AF5C09" w:rsidRPr="00AF5C09" w:rsidRDefault="00AF5C09" w:rsidP="00AF5C09">
            <w:r>
              <w:rPr>
                <w:color w:val="000000"/>
                <w:sz w:val="18"/>
                <w:szCs w:val="18"/>
              </w:rPr>
              <w:t>10.10.2019.</w:t>
            </w:r>
          </w:p>
        </w:tc>
        <w:tc>
          <w:tcPr>
            <w:tcW w:w="1000" w:type="dxa"/>
            <w:tcBorders>
              <w:top w:val="nil"/>
              <w:left w:val="nil"/>
              <w:bottom w:val="single" w:sz="8" w:space="0" w:color="auto"/>
              <w:right w:val="single" w:sz="8" w:space="0" w:color="auto"/>
            </w:tcBorders>
            <w:vAlign w:val="center"/>
            <w:hideMark/>
          </w:tcPr>
          <w:p w14:paraId="0FF80BAA" w14:textId="2FB23EF5" w:rsidR="00AF5C09" w:rsidRPr="00AF5C09" w:rsidRDefault="00AF5C09" w:rsidP="00AF5C09">
            <w:r>
              <w:rPr>
                <w:color w:val="000000"/>
                <w:sz w:val="18"/>
                <w:szCs w:val="18"/>
              </w:rPr>
              <w:t>13.11.2019.</w:t>
            </w:r>
          </w:p>
        </w:tc>
        <w:tc>
          <w:tcPr>
            <w:tcW w:w="1132" w:type="dxa"/>
            <w:tcBorders>
              <w:top w:val="nil"/>
              <w:left w:val="nil"/>
              <w:bottom w:val="single" w:sz="8" w:space="0" w:color="auto"/>
              <w:right w:val="single" w:sz="8" w:space="0" w:color="auto"/>
            </w:tcBorders>
            <w:vAlign w:val="center"/>
            <w:hideMark/>
          </w:tcPr>
          <w:p w14:paraId="39E43C58" w14:textId="234199E9" w:rsidR="00AF5C09" w:rsidRPr="00AF5C09" w:rsidRDefault="00AF5C09" w:rsidP="00AF5C09">
            <w:r>
              <w:rPr>
                <w:color w:val="000000"/>
                <w:sz w:val="18"/>
                <w:szCs w:val="18"/>
              </w:rPr>
              <w:t>1.327.228,08</w:t>
            </w:r>
          </w:p>
        </w:tc>
        <w:tc>
          <w:tcPr>
            <w:tcW w:w="810" w:type="dxa"/>
            <w:tcBorders>
              <w:top w:val="nil"/>
              <w:left w:val="nil"/>
              <w:bottom w:val="single" w:sz="8" w:space="0" w:color="auto"/>
              <w:right w:val="single" w:sz="8" w:space="0" w:color="auto"/>
            </w:tcBorders>
            <w:vAlign w:val="center"/>
            <w:hideMark/>
          </w:tcPr>
          <w:p w14:paraId="03EBCFAB" w14:textId="54ABEB5E" w:rsidR="00AF5C09" w:rsidRPr="00AF5C09" w:rsidRDefault="00AF5C09" w:rsidP="00AF5C09">
            <w:r>
              <w:rPr>
                <w:color w:val="000000"/>
                <w:sz w:val="18"/>
                <w:szCs w:val="18"/>
              </w:rPr>
              <w:t>2025.</w:t>
            </w:r>
          </w:p>
        </w:tc>
        <w:tc>
          <w:tcPr>
            <w:tcW w:w="924" w:type="dxa"/>
            <w:tcBorders>
              <w:top w:val="nil"/>
              <w:left w:val="nil"/>
              <w:bottom w:val="single" w:sz="8" w:space="0" w:color="auto"/>
              <w:right w:val="single" w:sz="8" w:space="0" w:color="auto"/>
            </w:tcBorders>
            <w:vAlign w:val="center"/>
            <w:hideMark/>
          </w:tcPr>
          <w:p w14:paraId="088A827B" w14:textId="2FDBF27D" w:rsidR="00AF5C09" w:rsidRPr="00AF5C09" w:rsidRDefault="00AF5C09" w:rsidP="00AF5C09">
            <w:r>
              <w:rPr>
                <w:color w:val="000000"/>
                <w:sz w:val="18"/>
                <w:szCs w:val="18"/>
              </w:rPr>
              <w:t>fiksna 0,84% nominalna, 0,89% efektivna</w:t>
            </w:r>
          </w:p>
        </w:tc>
        <w:tc>
          <w:tcPr>
            <w:tcW w:w="847" w:type="dxa"/>
            <w:tcBorders>
              <w:top w:val="nil"/>
              <w:left w:val="nil"/>
              <w:bottom w:val="single" w:sz="8" w:space="0" w:color="auto"/>
              <w:right w:val="single" w:sz="8" w:space="0" w:color="auto"/>
            </w:tcBorders>
            <w:vAlign w:val="center"/>
            <w:hideMark/>
          </w:tcPr>
          <w:p w14:paraId="44BC545E" w14:textId="278A3D20" w:rsidR="00AF5C09" w:rsidRPr="00AF5C09" w:rsidRDefault="00AF5C09" w:rsidP="00AF5C09">
            <w:r>
              <w:rPr>
                <w:color w:val="000000"/>
                <w:sz w:val="18"/>
                <w:szCs w:val="18"/>
              </w:rPr>
              <w:t>EUR</w:t>
            </w:r>
          </w:p>
        </w:tc>
        <w:tc>
          <w:tcPr>
            <w:tcW w:w="1182" w:type="dxa"/>
            <w:tcBorders>
              <w:top w:val="nil"/>
              <w:left w:val="nil"/>
              <w:bottom w:val="single" w:sz="8" w:space="0" w:color="auto"/>
              <w:right w:val="single" w:sz="8" w:space="0" w:color="auto"/>
            </w:tcBorders>
            <w:vAlign w:val="center"/>
            <w:hideMark/>
          </w:tcPr>
          <w:p w14:paraId="07FD7005" w14:textId="286E0CE2" w:rsidR="00AF5C09" w:rsidRPr="00AF5C09" w:rsidRDefault="00AF5C09" w:rsidP="00AF5C09">
            <w:r>
              <w:rPr>
                <w:color w:val="000000"/>
                <w:sz w:val="18"/>
                <w:szCs w:val="18"/>
              </w:rPr>
              <w:t xml:space="preserve">IZ </w:t>
            </w:r>
            <w:proofErr w:type="spellStart"/>
            <w:r>
              <w:rPr>
                <w:color w:val="000000"/>
                <w:sz w:val="18"/>
                <w:szCs w:val="18"/>
              </w:rPr>
              <w:t>Nemetin</w:t>
            </w:r>
            <w:proofErr w:type="spellEnd"/>
          </w:p>
        </w:tc>
        <w:tc>
          <w:tcPr>
            <w:tcW w:w="1132" w:type="dxa"/>
            <w:tcBorders>
              <w:top w:val="nil"/>
              <w:left w:val="nil"/>
              <w:bottom w:val="single" w:sz="8" w:space="0" w:color="auto"/>
              <w:right w:val="single" w:sz="8" w:space="0" w:color="auto"/>
            </w:tcBorders>
            <w:vAlign w:val="center"/>
            <w:hideMark/>
          </w:tcPr>
          <w:p w14:paraId="20BF2970" w14:textId="5AB0E091" w:rsidR="00AF5C09" w:rsidRPr="00AF5C09" w:rsidRDefault="00AF5C09" w:rsidP="00AF5C09">
            <w:r>
              <w:rPr>
                <w:color w:val="000000"/>
                <w:sz w:val="18"/>
                <w:szCs w:val="18"/>
              </w:rPr>
              <w:t>0</w:t>
            </w:r>
          </w:p>
        </w:tc>
      </w:tr>
      <w:tr w:rsidR="00AF5C09" w:rsidRPr="00AF5C09" w14:paraId="671E5D44" w14:textId="77777777" w:rsidTr="000D2576">
        <w:trPr>
          <w:trHeight w:val="2548"/>
        </w:trPr>
        <w:tc>
          <w:tcPr>
            <w:tcW w:w="1020" w:type="dxa"/>
            <w:tcBorders>
              <w:top w:val="single" w:sz="8" w:space="0" w:color="auto"/>
              <w:left w:val="single" w:sz="8" w:space="0" w:color="auto"/>
              <w:bottom w:val="single" w:sz="4" w:space="0" w:color="auto"/>
              <w:right w:val="single" w:sz="8" w:space="0" w:color="auto"/>
            </w:tcBorders>
            <w:vAlign w:val="center"/>
            <w:hideMark/>
          </w:tcPr>
          <w:p w14:paraId="47788CCB" w14:textId="0640D717" w:rsidR="00AF5C09" w:rsidRPr="00AF5C09" w:rsidRDefault="00AF5C09" w:rsidP="00AF5C09">
            <w:r>
              <w:rPr>
                <w:color w:val="000000"/>
                <w:sz w:val="18"/>
                <w:szCs w:val="18"/>
              </w:rPr>
              <w:lastRenderedPageBreak/>
              <w:t>Zagrebačka banka d.d.</w:t>
            </w:r>
          </w:p>
        </w:tc>
        <w:tc>
          <w:tcPr>
            <w:tcW w:w="1091" w:type="dxa"/>
            <w:tcBorders>
              <w:top w:val="single" w:sz="8" w:space="0" w:color="auto"/>
              <w:left w:val="nil"/>
              <w:bottom w:val="single" w:sz="4" w:space="0" w:color="auto"/>
              <w:right w:val="single" w:sz="8" w:space="0" w:color="auto"/>
            </w:tcBorders>
            <w:vAlign w:val="center"/>
            <w:hideMark/>
          </w:tcPr>
          <w:p w14:paraId="76BE34B0" w14:textId="06097E9B" w:rsidR="00AF5C09" w:rsidRPr="00AF5C09" w:rsidRDefault="00AF5C09" w:rsidP="00AF5C09">
            <w:r>
              <w:rPr>
                <w:color w:val="000000"/>
                <w:sz w:val="18"/>
                <w:szCs w:val="18"/>
              </w:rPr>
              <w:t>21.5.2020.</w:t>
            </w:r>
          </w:p>
        </w:tc>
        <w:tc>
          <w:tcPr>
            <w:tcW w:w="1000" w:type="dxa"/>
            <w:tcBorders>
              <w:top w:val="single" w:sz="8" w:space="0" w:color="auto"/>
              <w:left w:val="nil"/>
              <w:bottom w:val="single" w:sz="4" w:space="0" w:color="auto"/>
              <w:right w:val="single" w:sz="8" w:space="0" w:color="auto"/>
            </w:tcBorders>
            <w:vAlign w:val="center"/>
            <w:hideMark/>
          </w:tcPr>
          <w:p w14:paraId="79F8482F" w14:textId="0F7830D4" w:rsidR="00AF5C09" w:rsidRPr="00AF5C09" w:rsidRDefault="00AF5C09" w:rsidP="00AF5C09">
            <w:r>
              <w:rPr>
                <w:color w:val="000000"/>
                <w:sz w:val="18"/>
                <w:szCs w:val="18"/>
              </w:rPr>
              <w:t>8.06.2020.</w:t>
            </w:r>
          </w:p>
        </w:tc>
        <w:tc>
          <w:tcPr>
            <w:tcW w:w="1132" w:type="dxa"/>
            <w:tcBorders>
              <w:top w:val="single" w:sz="8" w:space="0" w:color="auto"/>
              <w:left w:val="nil"/>
              <w:bottom w:val="single" w:sz="4" w:space="0" w:color="auto"/>
              <w:right w:val="single" w:sz="8" w:space="0" w:color="auto"/>
            </w:tcBorders>
            <w:vAlign w:val="center"/>
            <w:hideMark/>
          </w:tcPr>
          <w:p w14:paraId="44F623D7" w14:textId="446AD0F1" w:rsidR="00AF5C09" w:rsidRPr="00AF5C09" w:rsidRDefault="00AF5C09" w:rsidP="00AF5C09">
            <w:r>
              <w:rPr>
                <w:color w:val="000000"/>
                <w:sz w:val="18"/>
                <w:szCs w:val="18"/>
              </w:rPr>
              <w:t>7.764.284,29</w:t>
            </w:r>
          </w:p>
        </w:tc>
        <w:tc>
          <w:tcPr>
            <w:tcW w:w="810" w:type="dxa"/>
            <w:tcBorders>
              <w:top w:val="single" w:sz="8" w:space="0" w:color="auto"/>
              <w:left w:val="nil"/>
              <w:bottom w:val="single" w:sz="4" w:space="0" w:color="auto"/>
              <w:right w:val="single" w:sz="8" w:space="0" w:color="auto"/>
            </w:tcBorders>
            <w:vAlign w:val="center"/>
            <w:hideMark/>
          </w:tcPr>
          <w:p w14:paraId="31C9D72F" w14:textId="044BE57C" w:rsidR="00AF5C09" w:rsidRPr="00AF5C09" w:rsidRDefault="00AF5C09" w:rsidP="00AF5C09">
            <w:r>
              <w:rPr>
                <w:color w:val="000000"/>
                <w:sz w:val="18"/>
                <w:szCs w:val="18"/>
              </w:rPr>
              <w:t>2037.</w:t>
            </w:r>
          </w:p>
        </w:tc>
        <w:tc>
          <w:tcPr>
            <w:tcW w:w="924" w:type="dxa"/>
            <w:tcBorders>
              <w:top w:val="single" w:sz="8" w:space="0" w:color="auto"/>
              <w:left w:val="nil"/>
              <w:bottom w:val="single" w:sz="4" w:space="0" w:color="auto"/>
              <w:right w:val="single" w:sz="8" w:space="0" w:color="auto"/>
            </w:tcBorders>
            <w:vAlign w:val="center"/>
            <w:hideMark/>
          </w:tcPr>
          <w:p w14:paraId="2750E504" w14:textId="5D8DD313" w:rsidR="00AF5C09" w:rsidRPr="00AF5C09" w:rsidRDefault="00AF5C09" w:rsidP="00AF5C09">
            <w:r>
              <w:rPr>
                <w:color w:val="000000"/>
                <w:sz w:val="18"/>
                <w:szCs w:val="18"/>
              </w:rPr>
              <w:t>fiksna 1,13% nominalna, 1,15% efektivna</w:t>
            </w:r>
          </w:p>
        </w:tc>
        <w:tc>
          <w:tcPr>
            <w:tcW w:w="847" w:type="dxa"/>
            <w:tcBorders>
              <w:top w:val="single" w:sz="8" w:space="0" w:color="auto"/>
              <w:left w:val="nil"/>
              <w:bottom w:val="single" w:sz="4" w:space="0" w:color="auto"/>
              <w:right w:val="single" w:sz="8" w:space="0" w:color="auto"/>
            </w:tcBorders>
            <w:vAlign w:val="center"/>
            <w:hideMark/>
          </w:tcPr>
          <w:p w14:paraId="656E941B" w14:textId="5B1717EF" w:rsidR="00AF5C09" w:rsidRPr="00AF5C09" w:rsidRDefault="00AF5C09" w:rsidP="00AF5C09">
            <w:r>
              <w:rPr>
                <w:color w:val="000000"/>
                <w:sz w:val="18"/>
                <w:szCs w:val="18"/>
              </w:rPr>
              <w:t>EUR</w:t>
            </w:r>
          </w:p>
        </w:tc>
        <w:tc>
          <w:tcPr>
            <w:tcW w:w="1182" w:type="dxa"/>
            <w:tcBorders>
              <w:top w:val="single" w:sz="8" w:space="0" w:color="auto"/>
              <w:left w:val="nil"/>
              <w:bottom w:val="single" w:sz="4" w:space="0" w:color="auto"/>
              <w:right w:val="single" w:sz="8" w:space="0" w:color="auto"/>
            </w:tcBorders>
            <w:vAlign w:val="center"/>
            <w:hideMark/>
          </w:tcPr>
          <w:p w14:paraId="5E34BEDA" w14:textId="724B3879" w:rsidR="00AF5C09" w:rsidRPr="00AF5C09" w:rsidRDefault="00AF5C09" w:rsidP="00AF5C09">
            <w:r>
              <w:rPr>
                <w:color w:val="000000"/>
                <w:sz w:val="18"/>
                <w:szCs w:val="18"/>
              </w:rPr>
              <w:t xml:space="preserve">Energetska obnova osnovnih škola i dječjih vrtića (OŠ Vijenac, DV Latica,  DV Potočnica), Kulturni centar, Izgradnja i rekonstrukcija sportskih objekata, IZ </w:t>
            </w:r>
            <w:proofErr w:type="spellStart"/>
            <w:r>
              <w:rPr>
                <w:color w:val="000000"/>
                <w:sz w:val="18"/>
                <w:szCs w:val="18"/>
              </w:rPr>
              <w:t>Nemetin</w:t>
            </w:r>
            <w:proofErr w:type="spellEnd"/>
            <w:r>
              <w:rPr>
                <w:color w:val="000000"/>
                <w:sz w:val="18"/>
                <w:szCs w:val="18"/>
              </w:rPr>
              <w:t>, Stanogradnja</w:t>
            </w:r>
          </w:p>
        </w:tc>
        <w:tc>
          <w:tcPr>
            <w:tcW w:w="1132" w:type="dxa"/>
            <w:tcBorders>
              <w:top w:val="single" w:sz="8" w:space="0" w:color="auto"/>
              <w:left w:val="nil"/>
              <w:bottom w:val="single" w:sz="4" w:space="0" w:color="auto"/>
              <w:right w:val="single" w:sz="8" w:space="0" w:color="auto"/>
            </w:tcBorders>
            <w:vAlign w:val="center"/>
            <w:hideMark/>
          </w:tcPr>
          <w:p w14:paraId="288A9261" w14:textId="228D405E" w:rsidR="00AF5C09" w:rsidRPr="00AF5C09" w:rsidRDefault="00AF5C09" w:rsidP="00AF5C09">
            <w:r>
              <w:rPr>
                <w:color w:val="000000"/>
                <w:sz w:val="18"/>
                <w:szCs w:val="18"/>
              </w:rPr>
              <w:t>5.952.618,06</w:t>
            </w:r>
          </w:p>
        </w:tc>
      </w:tr>
      <w:tr w:rsidR="00AF5C09" w:rsidRPr="00AF5C09" w14:paraId="4A35A7BE" w14:textId="77777777" w:rsidTr="000D2576">
        <w:trPr>
          <w:trHeight w:val="300"/>
        </w:trPr>
        <w:tc>
          <w:tcPr>
            <w:tcW w:w="1020" w:type="dxa"/>
            <w:tcBorders>
              <w:top w:val="single" w:sz="4" w:space="0" w:color="auto"/>
              <w:left w:val="single" w:sz="8" w:space="0" w:color="auto"/>
              <w:bottom w:val="nil"/>
              <w:right w:val="single" w:sz="8" w:space="0" w:color="auto"/>
            </w:tcBorders>
            <w:vAlign w:val="center"/>
            <w:hideMark/>
          </w:tcPr>
          <w:p w14:paraId="12ECE53A" w14:textId="188F1D45" w:rsidR="00AF5C09" w:rsidRPr="00AF5C09" w:rsidRDefault="00AF5C09" w:rsidP="00AF5C09">
            <w:r>
              <w:rPr>
                <w:color w:val="000000"/>
                <w:sz w:val="18"/>
                <w:szCs w:val="18"/>
              </w:rPr>
              <w:t> </w:t>
            </w:r>
          </w:p>
        </w:tc>
        <w:tc>
          <w:tcPr>
            <w:tcW w:w="1091" w:type="dxa"/>
            <w:tcBorders>
              <w:top w:val="single" w:sz="4" w:space="0" w:color="auto"/>
              <w:left w:val="nil"/>
              <w:bottom w:val="nil"/>
              <w:right w:val="single" w:sz="8" w:space="0" w:color="auto"/>
            </w:tcBorders>
            <w:vAlign w:val="center"/>
            <w:hideMark/>
          </w:tcPr>
          <w:p w14:paraId="2522AEA6" w14:textId="762CBA57" w:rsidR="00AF5C09" w:rsidRPr="00AF5C09" w:rsidRDefault="00AF5C09" w:rsidP="00AF5C09">
            <w:r>
              <w:rPr>
                <w:color w:val="000000"/>
                <w:sz w:val="18"/>
                <w:szCs w:val="18"/>
              </w:rPr>
              <w:t> </w:t>
            </w:r>
          </w:p>
        </w:tc>
        <w:tc>
          <w:tcPr>
            <w:tcW w:w="1000" w:type="dxa"/>
            <w:tcBorders>
              <w:top w:val="single" w:sz="4" w:space="0" w:color="auto"/>
              <w:left w:val="nil"/>
              <w:bottom w:val="nil"/>
              <w:right w:val="single" w:sz="8" w:space="0" w:color="auto"/>
            </w:tcBorders>
            <w:vAlign w:val="center"/>
            <w:hideMark/>
          </w:tcPr>
          <w:p w14:paraId="3E92E235" w14:textId="6416D526" w:rsidR="00AF5C09" w:rsidRPr="00AF5C09" w:rsidRDefault="00AF5C09" w:rsidP="00AF5C09">
            <w:r>
              <w:rPr>
                <w:color w:val="000000"/>
                <w:sz w:val="18"/>
                <w:szCs w:val="18"/>
              </w:rPr>
              <w:t> </w:t>
            </w:r>
          </w:p>
        </w:tc>
        <w:tc>
          <w:tcPr>
            <w:tcW w:w="1132" w:type="dxa"/>
            <w:tcBorders>
              <w:top w:val="single" w:sz="4" w:space="0" w:color="auto"/>
              <w:left w:val="nil"/>
              <w:bottom w:val="nil"/>
              <w:right w:val="single" w:sz="8" w:space="0" w:color="auto"/>
            </w:tcBorders>
            <w:vAlign w:val="center"/>
            <w:hideMark/>
          </w:tcPr>
          <w:p w14:paraId="23FCE52B" w14:textId="12FC2AB4" w:rsidR="00AF5C09" w:rsidRPr="00AF5C09" w:rsidRDefault="00AF5C09" w:rsidP="00AF5C09">
            <w:r>
              <w:rPr>
                <w:color w:val="000000"/>
                <w:sz w:val="18"/>
                <w:szCs w:val="18"/>
              </w:rPr>
              <w:t> </w:t>
            </w:r>
          </w:p>
        </w:tc>
        <w:tc>
          <w:tcPr>
            <w:tcW w:w="810" w:type="dxa"/>
            <w:tcBorders>
              <w:top w:val="single" w:sz="4" w:space="0" w:color="auto"/>
              <w:left w:val="nil"/>
              <w:bottom w:val="nil"/>
              <w:right w:val="single" w:sz="8" w:space="0" w:color="auto"/>
            </w:tcBorders>
            <w:vAlign w:val="center"/>
            <w:hideMark/>
          </w:tcPr>
          <w:p w14:paraId="37F07B43" w14:textId="47605253" w:rsidR="00AF5C09" w:rsidRPr="00AF5C09" w:rsidRDefault="00AF5C09" w:rsidP="00AF5C09">
            <w:r>
              <w:rPr>
                <w:color w:val="000000"/>
                <w:sz w:val="18"/>
                <w:szCs w:val="18"/>
              </w:rPr>
              <w:t> </w:t>
            </w:r>
          </w:p>
        </w:tc>
        <w:tc>
          <w:tcPr>
            <w:tcW w:w="924" w:type="dxa"/>
            <w:tcBorders>
              <w:top w:val="single" w:sz="4" w:space="0" w:color="auto"/>
              <w:left w:val="nil"/>
              <w:bottom w:val="nil"/>
              <w:right w:val="single" w:sz="8" w:space="0" w:color="auto"/>
            </w:tcBorders>
            <w:vAlign w:val="center"/>
            <w:hideMark/>
          </w:tcPr>
          <w:p w14:paraId="1FB58E9C" w14:textId="0BAD2E91" w:rsidR="00AF5C09" w:rsidRPr="00AF5C09" w:rsidRDefault="00AF5C09" w:rsidP="00AF5C09">
            <w:r>
              <w:rPr>
                <w:color w:val="000000"/>
                <w:sz w:val="18"/>
                <w:szCs w:val="18"/>
              </w:rPr>
              <w:t> </w:t>
            </w:r>
          </w:p>
        </w:tc>
        <w:tc>
          <w:tcPr>
            <w:tcW w:w="847" w:type="dxa"/>
            <w:tcBorders>
              <w:top w:val="single" w:sz="4" w:space="0" w:color="auto"/>
              <w:left w:val="nil"/>
              <w:bottom w:val="nil"/>
              <w:right w:val="single" w:sz="8" w:space="0" w:color="auto"/>
            </w:tcBorders>
            <w:vAlign w:val="center"/>
            <w:hideMark/>
          </w:tcPr>
          <w:p w14:paraId="132CC546" w14:textId="6B44F8EC" w:rsidR="00AF5C09" w:rsidRPr="00AF5C09" w:rsidRDefault="00AF5C09" w:rsidP="00AF5C09">
            <w:r>
              <w:rPr>
                <w:color w:val="000000"/>
                <w:sz w:val="18"/>
                <w:szCs w:val="18"/>
              </w:rPr>
              <w:t> </w:t>
            </w:r>
          </w:p>
        </w:tc>
        <w:tc>
          <w:tcPr>
            <w:tcW w:w="1182" w:type="dxa"/>
            <w:tcBorders>
              <w:top w:val="single" w:sz="4" w:space="0" w:color="auto"/>
              <w:left w:val="nil"/>
              <w:bottom w:val="nil"/>
              <w:right w:val="single" w:sz="8" w:space="0" w:color="auto"/>
            </w:tcBorders>
            <w:vAlign w:val="center"/>
            <w:hideMark/>
          </w:tcPr>
          <w:p w14:paraId="3798D6A9" w14:textId="55455024" w:rsidR="00AF5C09" w:rsidRPr="00AF5C09" w:rsidRDefault="00AF5C09" w:rsidP="00AF5C09">
            <w:r>
              <w:rPr>
                <w:color w:val="000000"/>
                <w:sz w:val="18"/>
                <w:szCs w:val="18"/>
              </w:rPr>
              <w:t> </w:t>
            </w:r>
          </w:p>
        </w:tc>
        <w:tc>
          <w:tcPr>
            <w:tcW w:w="1132" w:type="dxa"/>
            <w:tcBorders>
              <w:top w:val="single" w:sz="4" w:space="0" w:color="auto"/>
              <w:left w:val="nil"/>
              <w:bottom w:val="nil"/>
              <w:right w:val="single" w:sz="8" w:space="0" w:color="auto"/>
            </w:tcBorders>
            <w:vAlign w:val="center"/>
            <w:hideMark/>
          </w:tcPr>
          <w:p w14:paraId="7D6FEF20" w14:textId="77606971" w:rsidR="00AF5C09" w:rsidRPr="00AF5C09" w:rsidRDefault="00AF5C09" w:rsidP="00AF5C09">
            <w:r>
              <w:rPr>
                <w:color w:val="000000"/>
                <w:sz w:val="18"/>
                <w:szCs w:val="18"/>
              </w:rPr>
              <w:t> </w:t>
            </w:r>
          </w:p>
        </w:tc>
      </w:tr>
      <w:tr w:rsidR="00AF5C09" w:rsidRPr="00AF5C09" w14:paraId="137344E1" w14:textId="77777777" w:rsidTr="000D2576">
        <w:trPr>
          <w:trHeight w:val="1091"/>
        </w:trPr>
        <w:tc>
          <w:tcPr>
            <w:tcW w:w="1020" w:type="dxa"/>
            <w:tcBorders>
              <w:top w:val="nil"/>
              <w:left w:val="single" w:sz="8" w:space="0" w:color="auto"/>
              <w:bottom w:val="single" w:sz="8" w:space="0" w:color="auto"/>
              <w:right w:val="single" w:sz="8" w:space="0" w:color="auto"/>
            </w:tcBorders>
            <w:vAlign w:val="center"/>
            <w:hideMark/>
          </w:tcPr>
          <w:p w14:paraId="07710D74" w14:textId="25EFB00E" w:rsidR="00AF5C09" w:rsidRPr="00AF5C09" w:rsidRDefault="00AF5C09" w:rsidP="00AF5C09">
            <w:r>
              <w:rPr>
                <w:color w:val="000000"/>
                <w:sz w:val="18"/>
                <w:szCs w:val="18"/>
              </w:rPr>
              <w:t>Zagrebačka banka d.d.</w:t>
            </w:r>
          </w:p>
        </w:tc>
        <w:tc>
          <w:tcPr>
            <w:tcW w:w="1091" w:type="dxa"/>
            <w:tcBorders>
              <w:top w:val="nil"/>
              <w:left w:val="nil"/>
              <w:bottom w:val="single" w:sz="8" w:space="0" w:color="auto"/>
              <w:right w:val="single" w:sz="8" w:space="0" w:color="auto"/>
            </w:tcBorders>
            <w:vAlign w:val="center"/>
            <w:hideMark/>
          </w:tcPr>
          <w:p w14:paraId="171DBE0F" w14:textId="31A93DF1" w:rsidR="00AF5C09" w:rsidRPr="00AF5C09" w:rsidRDefault="00AF5C09" w:rsidP="00AF5C09">
            <w:r>
              <w:rPr>
                <w:color w:val="000000"/>
                <w:sz w:val="18"/>
                <w:szCs w:val="18"/>
              </w:rPr>
              <w:t>21.5.2020.</w:t>
            </w:r>
          </w:p>
        </w:tc>
        <w:tc>
          <w:tcPr>
            <w:tcW w:w="1000" w:type="dxa"/>
            <w:tcBorders>
              <w:top w:val="nil"/>
              <w:left w:val="nil"/>
              <w:bottom w:val="single" w:sz="8" w:space="0" w:color="auto"/>
              <w:right w:val="single" w:sz="8" w:space="0" w:color="auto"/>
            </w:tcBorders>
            <w:vAlign w:val="center"/>
            <w:hideMark/>
          </w:tcPr>
          <w:p w14:paraId="6B1111A6" w14:textId="2FADD9B7" w:rsidR="00AF5C09" w:rsidRPr="00AF5C09" w:rsidRDefault="00AF5C09" w:rsidP="00AF5C09">
            <w:r>
              <w:rPr>
                <w:color w:val="000000"/>
                <w:sz w:val="18"/>
                <w:szCs w:val="18"/>
              </w:rPr>
              <w:t>8.06.2020.</w:t>
            </w:r>
          </w:p>
        </w:tc>
        <w:tc>
          <w:tcPr>
            <w:tcW w:w="1132" w:type="dxa"/>
            <w:tcBorders>
              <w:top w:val="nil"/>
              <w:left w:val="nil"/>
              <w:bottom w:val="single" w:sz="8" w:space="0" w:color="auto"/>
              <w:right w:val="single" w:sz="8" w:space="0" w:color="auto"/>
            </w:tcBorders>
            <w:vAlign w:val="center"/>
            <w:hideMark/>
          </w:tcPr>
          <w:p w14:paraId="08DF0318" w14:textId="1EC81905" w:rsidR="00AF5C09" w:rsidRPr="00AF5C09" w:rsidRDefault="00AF5C09" w:rsidP="00AF5C09">
            <w:r>
              <w:rPr>
                <w:color w:val="000000"/>
                <w:sz w:val="18"/>
                <w:szCs w:val="18"/>
              </w:rPr>
              <w:t>4.379.852,68</w:t>
            </w:r>
          </w:p>
        </w:tc>
        <w:tc>
          <w:tcPr>
            <w:tcW w:w="810" w:type="dxa"/>
            <w:tcBorders>
              <w:top w:val="nil"/>
              <w:left w:val="nil"/>
              <w:bottom w:val="single" w:sz="8" w:space="0" w:color="auto"/>
              <w:right w:val="single" w:sz="8" w:space="0" w:color="auto"/>
            </w:tcBorders>
            <w:vAlign w:val="center"/>
            <w:hideMark/>
          </w:tcPr>
          <w:p w14:paraId="6E8677DF" w14:textId="7E690B34" w:rsidR="00AF5C09" w:rsidRPr="00AF5C09" w:rsidRDefault="00AF5C09" w:rsidP="00AF5C09">
            <w:r>
              <w:rPr>
                <w:color w:val="000000"/>
                <w:sz w:val="18"/>
                <w:szCs w:val="18"/>
              </w:rPr>
              <w:t>2037.</w:t>
            </w:r>
          </w:p>
        </w:tc>
        <w:tc>
          <w:tcPr>
            <w:tcW w:w="924" w:type="dxa"/>
            <w:tcBorders>
              <w:top w:val="nil"/>
              <w:left w:val="nil"/>
              <w:bottom w:val="single" w:sz="8" w:space="0" w:color="auto"/>
              <w:right w:val="single" w:sz="8" w:space="0" w:color="auto"/>
            </w:tcBorders>
            <w:vAlign w:val="center"/>
            <w:hideMark/>
          </w:tcPr>
          <w:p w14:paraId="37B1A325" w14:textId="088161AE" w:rsidR="00AF5C09" w:rsidRPr="00AF5C09" w:rsidRDefault="00AF5C09" w:rsidP="00AF5C09">
            <w:r>
              <w:rPr>
                <w:color w:val="000000"/>
                <w:sz w:val="18"/>
                <w:szCs w:val="18"/>
              </w:rPr>
              <w:t>fiksna 1,14% nominalna, 1,17% efektivna</w:t>
            </w:r>
          </w:p>
        </w:tc>
        <w:tc>
          <w:tcPr>
            <w:tcW w:w="847" w:type="dxa"/>
            <w:tcBorders>
              <w:top w:val="nil"/>
              <w:left w:val="nil"/>
              <w:bottom w:val="single" w:sz="8" w:space="0" w:color="auto"/>
              <w:right w:val="single" w:sz="8" w:space="0" w:color="auto"/>
            </w:tcBorders>
            <w:vAlign w:val="center"/>
            <w:hideMark/>
          </w:tcPr>
          <w:p w14:paraId="34CC831B" w14:textId="4999F6B5" w:rsidR="00AF5C09" w:rsidRPr="00AF5C09" w:rsidRDefault="00AF5C09" w:rsidP="00AF5C09">
            <w:r>
              <w:rPr>
                <w:color w:val="000000"/>
                <w:sz w:val="18"/>
                <w:szCs w:val="18"/>
              </w:rPr>
              <w:t>EUR</w:t>
            </w:r>
          </w:p>
        </w:tc>
        <w:tc>
          <w:tcPr>
            <w:tcW w:w="1182" w:type="dxa"/>
            <w:tcBorders>
              <w:top w:val="nil"/>
              <w:left w:val="nil"/>
              <w:bottom w:val="single" w:sz="8" w:space="0" w:color="auto"/>
              <w:right w:val="single" w:sz="8" w:space="0" w:color="auto"/>
            </w:tcBorders>
            <w:vAlign w:val="center"/>
            <w:hideMark/>
          </w:tcPr>
          <w:p w14:paraId="24CE7349" w14:textId="6461A7EF" w:rsidR="00AF5C09" w:rsidRPr="00AF5C09" w:rsidRDefault="00AF5C09" w:rsidP="00AF5C09">
            <w:r>
              <w:rPr>
                <w:color w:val="000000"/>
                <w:sz w:val="18"/>
                <w:szCs w:val="18"/>
              </w:rPr>
              <w:t>IT Park, Centar za posjetitelje Tvrđa, Razvoj i unapređenje osječke Tvrđe</w:t>
            </w:r>
          </w:p>
        </w:tc>
        <w:tc>
          <w:tcPr>
            <w:tcW w:w="1132" w:type="dxa"/>
            <w:tcBorders>
              <w:top w:val="nil"/>
              <w:left w:val="nil"/>
              <w:bottom w:val="single" w:sz="8" w:space="0" w:color="auto"/>
              <w:right w:val="single" w:sz="8" w:space="0" w:color="auto"/>
            </w:tcBorders>
            <w:vAlign w:val="center"/>
            <w:hideMark/>
          </w:tcPr>
          <w:p w14:paraId="1F296E25" w14:textId="3AB32224" w:rsidR="00AF5C09" w:rsidRPr="00AF5C09" w:rsidRDefault="00AF5C09" w:rsidP="00AF5C09">
            <w:r>
              <w:rPr>
                <w:color w:val="000000"/>
                <w:sz w:val="18"/>
                <w:szCs w:val="18"/>
              </w:rPr>
              <w:t>3.357.886,86</w:t>
            </w:r>
          </w:p>
        </w:tc>
      </w:tr>
      <w:tr w:rsidR="00AF5C09" w:rsidRPr="00AF5C09" w14:paraId="3374DEB0" w14:textId="77777777" w:rsidTr="000D2576">
        <w:trPr>
          <w:trHeight w:val="3672"/>
        </w:trPr>
        <w:tc>
          <w:tcPr>
            <w:tcW w:w="1020" w:type="dxa"/>
            <w:tcBorders>
              <w:top w:val="nil"/>
              <w:left w:val="single" w:sz="8" w:space="0" w:color="auto"/>
              <w:bottom w:val="single" w:sz="8" w:space="0" w:color="auto"/>
              <w:right w:val="single" w:sz="8" w:space="0" w:color="auto"/>
            </w:tcBorders>
            <w:vAlign w:val="center"/>
            <w:hideMark/>
          </w:tcPr>
          <w:p w14:paraId="4826317F" w14:textId="59F82A39" w:rsidR="00AF5C09" w:rsidRPr="00AF5C09" w:rsidRDefault="00AF5C09" w:rsidP="00AF5C09">
            <w:r>
              <w:rPr>
                <w:color w:val="000000"/>
                <w:sz w:val="18"/>
                <w:szCs w:val="18"/>
              </w:rPr>
              <w:t>Zagrebačka banka d.d.</w:t>
            </w:r>
          </w:p>
        </w:tc>
        <w:tc>
          <w:tcPr>
            <w:tcW w:w="1091" w:type="dxa"/>
            <w:tcBorders>
              <w:top w:val="nil"/>
              <w:left w:val="nil"/>
              <w:bottom w:val="single" w:sz="8" w:space="0" w:color="auto"/>
              <w:right w:val="single" w:sz="8" w:space="0" w:color="auto"/>
            </w:tcBorders>
            <w:vAlign w:val="center"/>
            <w:hideMark/>
          </w:tcPr>
          <w:p w14:paraId="7C45B318" w14:textId="532391CB" w:rsidR="00AF5C09" w:rsidRPr="00AF5C09" w:rsidRDefault="00AF5C09" w:rsidP="00AF5C09">
            <w:r>
              <w:rPr>
                <w:color w:val="000000"/>
                <w:sz w:val="18"/>
                <w:szCs w:val="18"/>
              </w:rPr>
              <w:t>2.6.2021.</w:t>
            </w:r>
          </w:p>
        </w:tc>
        <w:tc>
          <w:tcPr>
            <w:tcW w:w="1000" w:type="dxa"/>
            <w:tcBorders>
              <w:top w:val="nil"/>
              <w:left w:val="nil"/>
              <w:bottom w:val="single" w:sz="8" w:space="0" w:color="auto"/>
              <w:right w:val="single" w:sz="8" w:space="0" w:color="auto"/>
            </w:tcBorders>
            <w:vAlign w:val="center"/>
            <w:hideMark/>
          </w:tcPr>
          <w:p w14:paraId="18F49762" w14:textId="1EF08C35" w:rsidR="00AF5C09" w:rsidRPr="00AF5C09" w:rsidRDefault="00AF5C09" w:rsidP="00AF5C09">
            <w:r>
              <w:rPr>
                <w:color w:val="000000"/>
                <w:sz w:val="18"/>
                <w:szCs w:val="18"/>
              </w:rPr>
              <w:t>28.6.2021.</w:t>
            </w:r>
          </w:p>
        </w:tc>
        <w:tc>
          <w:tcPr>
            <w:tcW w:w="1132" w:type="dxa"/>
            <w:tcBorders>
              <w:top w:val="nil"/>
              <w:left w:val="nil"/>
              <w:bottom w:val="single" w:sz="8" w:space="0" w:color="auto"/>
              <w:right w:val="single" w:sz="8" w:space="0" w:color="auto"/>
            </w:tcBorders>
            <w:vAlign w:val="center"/>
            <w:hideMark/>
          </w:tcPr>
          <w:p w14:paraId="7A604139" w14:textId="5C594824" w:rsidR="00AF5C09" w:rsidRPr="00AF5C09" w:rsidRDefault="00AF5C09" w:rsidP="00AF5C09">
            <w:r>
              <w:rPr>
                <w:color w:val="000000"/>
                <w:sz w:val="18"/>
                <w:szCs w:val="18"/>
              </w:rPr>
              <w:t>3.318.070,21</w:t>
            </w:r>
          </w:p>
        </w:tc>
        <w:tc>
          <w:tcPr>
            <w:tcW w:w="810" w:type="dxa"/>
            <w:tcBorders>
              <w:top w:val="nil"/>
              <w:left w:val="nil"/>
              <w:bottom w:val="single" w:sz="8" w:space="0" w:color="auto"/>
              <w:right w:val="single" w:sz="8" w:space="0" w:color="auto"/>
            </w:tcBorders>
            <w:vAlign w:val="center"/>
            <w:hideMark/>
          </w:tcPr>
          <w:p w14:paraId="59B31181" w14:textId="4D84D1AB" w:rsidR="00AF5C09" w:rsidRPr="00AF5C09" w:rsidRDefault="00AF5C09" w:rsidP="00AF5C09">
            <w:r>
              <w:rPr>
                <w:color w:val="000000"/>
                <w:sz w:val="18"/>
                <w:szCs w:val="18"/>
              </w:rPr>
              <w:t>2030.</w:t>
            </w:r>
          </w:p>
        </w:tc>
        <w:tc>
          <w:tcPr>
            <w:tcW w:w="924" w:type="dxa"/>
            <w:tcBorders>
              <w:top w:val="nil"/>
              <w:left w:val="nil"/>
              <w:bottom w:val="single" w:sz="8" w:space="0" w:color="auto"/>
              <w:right w:val="single" w:sz="8" w:space="0" w:color="auto"/>
            </w:tcBorders>
            <w:vAlign w:val="center"/>
            <w:hideMark/>
          </w:tcPr>
          <w:p w14:paraId="45B36DFC" w14:textId="086360CB" w:rsidR="00AF5C09" w:rsidRPr="00AF5C09" w:rsidRDefault="00AF5C09" w:rsidP="00AF5C09">
            <w:r>
              <w:rPr>
                <w:color w:val="000000"/>
                <w:sz w:val="18"/>
                <w:szCs w:val="18"/>
              </w:rPr>
              <w:t>fiksna 0,76% nominalna i efektivna</w:t>
            </w:r>
          </w:p>
        </w:tc>
        <w:tc>
          <w:tcPr>
            <w:tcW w:w="847" w:type="dxa"/>
            <w:tcBorders>
              <w:top w:val="nil"/>
              <w:left w:val="nil"/>
              <w:bottom w:val="single" w:sz="8" w:space="0" w:color="auto"/>
              <w:right w:val="single" w:sz="8" w:space="0" w:color="auto"/>
            </w:tcBorders>
            <w:vAlign w:val="center"/>
            <w:hideMark/>
          </w:tcPr>
          <w:p w14:paraId="0F8F3A83" w14:textId="74DB3864" w:rsidR="00AF5C09" w:rsidRPr="00AF5C09" w:rsidRDefault="00AF5C09" w:rsidP="00AF5C09">
            <w:r>
              <w:rPr>
                <w:color w:val="000000"/>
                <w:sz w:val="18"/>
                <w:szCs w:val="18"/>
              </w:rPr>
              <w:t>EUR</w:t>
            </w:r>
          </w:p>
        </w:tc>
        <w:tc>
          <w:tcPr>
            <w:tcW w:w="1182" w:type="dxa"/>
            <w:tcBorders>
              <w:top w:val="nil"/>
              <w:left w:val="nil"/>
              <w:bottom w:val="single" w:sz="8" w:space="0" w:color="auto"/>
              <w:right w:val="single" w:sz="8" w:space="0" w:color="auto"/>
            </w:tcBorders>
            <w:vAlign w:val="center"/>
            <w:hideMark/>
          </w:tcPr>
          <w:p w14:paraId="04C45E87" w14:textId="7D3EAABC" w:rsidR="00AF5C09" w:rsidRPr="00AF5C09" w:rsidRDefault="00AF5C09" w:rsidP="00AF5C09">
            <w:r>
              <w:rPr>
                <w:color w:val="000000"/>
                <w:sz w:val="18"/>
                <w:szCs w:val="18"/>
              </w:rPr>
              <w:t xml:space="preserve">Razvoj i unapređenje osječke Tvrđe, DV Tenja, izgradnja i rekonstrukcija osnovnih škola, energetska obnova OŠ Franje Krežme i DV Radost, rekonstrukcija </w:t>
            </w:r>
            <w:proofErr w:type="spellStart"/>
            <w:r>
              <w:rPr>
                <w:color w:val="000000"/>
                <w:sz w:val="18"/>
                <w:szCs w:val="18"/>
              </w:rPr>
              <w:t>Copacabane</w:t>
            </w:r>
            <w:proofErr w:type="spellEnd"/>
            <w:r>
              <w:rPr>
                <w:color w:val="000000"/>
                <w:sz w:val="18"/>
                <w:szCs w:val="18"/>
              </w:rPr>
              <w:t>, Kulturni centar, stanogradnja </w:t>
            </w:r>
          </w:p>
        </w:tc>
        <w:tc>
          <w:tcPr>
            <w:tcW w:w="1132" w:type="dxa"/>
            <w:tcBorders>
              <w:top w:val="nil"/>
              <w:left w:val="nil"/>
              <w:bottom w:val="single" w:sz="8" w:space="0" w:color="auto"/>
              <w:right w:val="single" w:sz="8" w:space="0" w:color="auto"/>
            </w:tcBorders>
            <w:vAlign w:val="center"/>
            <w:hideMark/>
          </w:tcPr>
          <w:p w14:paraId="7C6B1796" w14:textId="04809FC4" w:rsidR="00AF5C09" w:rsidRPr="00AF5C09" w:rsidRDefault="00AF5C09" w:rsidP="00AF5C09">
            <w:r>
              <w:rPr>
                <w:color w:val="000000"/>
                <w:sz w:val="18"/>
                <w:szCs w:val="18"/>
              </w:rPr>
              <w:t>2.073.793,93</w:t>
            </w:r>
          </w:p>
        </w:tc>
      </w:tr>
      <w:tr w:rsidR="00AF5C09" w:rsidRPr="00AF5C09" w14:paraId="76889A74" w14:textId="77777777" w:rsidTr="000D2576">
        <w:trPr>
          <w:trHeight w:val="1459"/>
        </w:trPr>
        <w:tc>
          <w:tcPr>
            <w:tcW w:w="1020" w:type="dxa"/>
            <w:tcBorders>
              <w:top w:val="nil"/>
              <w:left w:val="single" w:sz="8" w:space="0" w:color="auto"/>
              <w:bottom w:val="single" w:sz="8" w:space="0" w:color="auto"/>
              <w:right w:val="single" w:sz="8" w:space="0" w:color="auto"/>
            </w:tcBorders>
            <w:vAlign w:val="center"/>
            <w:hideMark/>
          </w:tcPr>
          <w:p w14:paraId="258FCFE5" w14:textId="5897D914" w:rsidR="00AF5C09" w:rsidRPr="00AF5C09" w:rsidRDefault="00AF5C09" w:rsidP="00AF5C09">
            <w:r>
              <w:rPr>
                <w:color w:val="000000"/>
                <w:sz w:val="18"/>
                <w:szCs w:val="18"/>
              </w:rPr>
              <w:t>Privredna banka Zagreb d.d.</w:t>
            </w:r>
          </w:p>
        </w:tc>
        <w:tc>
          <w:tcPr>
            <w:tcW w:w="1091" w:type="dxa"/>
            <w:tcBorders>
              <w:top w:val="nil"/>
              <w:left w:val="nil"/>
              <w:bottom w:val="single" w:sz="8" w:space="0" w:color="auto"/>
              <w:right w:val="single" w:sz="8" w:space="0" w:color="auto"/>
            </w:tcBorders>
            <w:vAlign w:val="center"/>
            <w:hideMark/>
          </w:tcPr>
          <w:p w14:paraId="19274262" w14:textId="5D7F5C12" w:rsidR="00AF5C09" w:rsidRPr="00AF5C09" w:rsidRDefault="00AF5C09" w:rsidP="00AF5C09">
            <w:r>
              <w:rPr>
                <w:color w:val="000000"/>
                <w:sz w:val="18"/>
                <w:szCs w:val="18"/>
              </w:rPr>
              <w:t>13.5.2022.</w:t>
            </w:r>
          </w:p>
        </w:tc>
        <w:tc>
          <w:tcPr>
            <w:tcW w:w="1000" w:type="dxa"/>
            <w:tcBorders>
              <w:top w:val="nil"/>
              <w:left w:val="nil"/>
              <w:bottom w:val="single" w:sz="8" w:space="0" w:color="auto"/>
              <w:right w:val="single" w:sz="8" w:space="0" w:color="auto"/>
            </w:tcBorders>
            <w:vAlign w:val="center"/>
            <w:hideMark/>
          </w:tcPr>
          <w:p w14:paraId="122A7A4D" w14:textId="55966ED4" w:rsidR="00AF5C09" w:rsidRPr="00AF5C09" w:rsidRDefault="00AF5C09" w:rsidP="00AF5C09">
            <w:r>
              <w:rPr>
                <w:color w:val="000000"/>
                <w:sz w:val="18"/>
                <w:szCs w:val="18"/>
              </w:rPr>
              <w:t>2.6.2022.</w:t>
            </w:r>
          </w:p>
        </w:tc>
        <w:tc>
          <w:tcPr>
            <w:tcW w:w="1132" w:type="dxa"/>
            <w:tcBorders>
              <w:top w:val="nil"/>
              <w:left w:val="nil"/>
              <w:bottom w:val="single" w:sz="8" w:space="0" w:color="auto"/>
              <w:right w:val="single" w:sz="8" w:space="0" w:color="auto"/>
            </w:tcBorders>
            <w:vAlign w:val="center"/>
            <w:hideMark/>
          </w:tcPr>
          <w:p w14:paraId="02A2A781" w14:textId="6E4625EF" w:rsidR="00AF5C09" w:rsidRPr="00AF5C09" w:rsidRDefault="00AF5C09" w:rsidP="00AF5C09">
            <w:r>
              <w:rPr>
                <w:color w:val="000000"/>
                <w:sz w:val="18"/>
                <w:szCs w:val="18"/>
              </w:rPr>
              <w:t>14.260.246,69</w:t>
            </w:r>
          </w:p>
        </w:tc>
        <w:tc>
          <w:tcPr>
            <w:tcW w:w="810" w:type="dxa"/>
            <w:tcBorders>
              <w:top w:val="nil"/>
              <w:left w:val="nil"/>
              <w:bottom w:val="single" w:sz="8" w:space="0" w:color="auto"/>
              <w:right w:val="single" w:sz="8" w:space="0" w:color="auto"/>
            </w:tcBorders>
            <w:vAlign w:val="center"/>
            <w:hideMark/>
          </w:tcPr>
          <w:p w14:paraId="3500B6F0" w14:textId="33B55DFB" w:rsidR="00AF5C09" w:rsidRPr="00AF5C09" w:rsidRDefault="00AF5C09" w:rsidP="00AF5C09">
            <w:r>
              <w:rPr>
                <w:color w:val="000000"/>
                <w:sz w:val="18"/>
                <w:szCs w:val="18"/>
              </w:rPr>
              <w:t>2030.</w:t>
            </w:r>
          </w:p>
        </w:tc>
        <w:tc>
          <w:tcPr>
            <w:tcW w:w="924" w:type="dxa"/>
            <w:tcBorders>
              <w:top w:val="nil"/>
              <w:left w:val="nil"/>
              <w:bottom w:val="single" w:sz="8" w:space="0" w:color="auto"/>
              <w:right w:val="single" w:sz="8" w:space="0" w:color="auto"/>
            </w:tcBorders>
            <w:vAlign w:val="center"/>
            <w:hideMark/>
          </w:tcPr>
          <w:p w14:paraId="7776DC12" w14:textId="5B839EB4" w:rsidR="00AF5C09" w:rsidRPr="00AF5C09" w:rsidRDefault="00AF5C09" w:rsidP="00AF5C09">
            <w:r>
              <w:rPr>
                <w:color w:val="000000"/>
                <w:sz w:val="18"/>
                <w:szCs w:val="18"/>
              </w:rPr>
              <w:t>fiksna 0,325% nominalna, 0,33% efektivna</w:t>
            </w:r>
          </w:p>
        </w:tc>
        <w:tc>
          <w:tcPr>
            <w:tcW w:w="847" w:type="dxa"/>
            <w:tcBorders>
              <w:top w:val="nil"/>
              <w:left w:val="nil"/>
              <w:bottom w:val="single" w:sz="8" w:space="0" w:color="auto"/>
              <w:right w:val="single" w:sz="8" w:space="0" w:color="auto"/>
            </w:tcBorders>
            <w:vAlign w:val="center"/>
            <w:hideMark/>
          </w:tcPr>
          <w:p w14:paraId="25E588F0" w14:textId="4DC790F8" w:rsidR="00AF5C09" w:rsidRPr="00AF5C09" w:rsidRDefault="00AF5C09" w:rsidP="00AF5C09">
            <w:r>
              <w:rPr>
                <w:color w:val="000000"/>
                <w:sz w:val="18"/>
                <w:szCs w:val="18"/>
              </w:rPr>
              <w:t>EUR</w:t>
            </w:r>
          </w:p>
        </w:tc>
        <w:tc>
          <w:tcPr>
            <w:tcW w:w="1182" w:type="dxa"/>
            <w:tcBorders>
              <w:top w:val="nil"/>
              <w:left w:val="nil"/>
              <w:bottom w:val="single" w:sz="8" w:space="0" w:color="auto"/>
              <w:right w:val="single" w:sz="8" w:space="0" w:color="auto"/>
            </w:tcBorders>
            <w:vAlign w:val="center"/>
            <w:hideMark/>
          </w:tcPr>
          <w:p w14:paraId="71C33654" w14:textId="42AAC885" w:rsidR="00AF5C09" w:rsidRPr="00AF5C09" w:rsidRDefault="00AF5C09" w:rsidP="00AF5C09">
            <w:r>
              <w:rPr>
                <w:color w:val="000000"/>
                <w:sz w:val="18"/>
                <w:szCs w:val="18"/>
              </w:rPr>
              <w:t>Refinanciranje ostatka duga po kreditnim obvezama (7 kredita)</w:t>
            </w:r>
          </w:p>
        </w:tc>
        <w:tc>
          <w:tcPr>
            <w:tcW w:w="1132" w:type="dxa"/>
            <w:tcBorders>
              <w:top w:val="nil"/>
              <w:left w:val="nil"/>
              <w:bottom w:val="single" w:sz="8" w:space="0" w:color="auto"/>
              <w:right w:val="single" w:sz="8" w:space="0" w:color="auto"/>
            </w:tcBorders>
            <w:vAlign w:val="center"/>
            <w:hideMark/>
          </w:tcPr>
          <w:p w14:paraId="690817DE" w14:textId="771A5AD7" w:rsidR="00AF5C09" w:rsidRPr="00AF5C09" w:rsidRDefault="00AF5C09" w:rsidP="00AF5C09">
            <w:r>
              <w:rPr>
                <w:color w:val="000000"/>
                <w:sz w:val="18"/>
                <w:szCs w:val="18"/>
              </w:rPr>
              <w:t>8.021.388,63</w:t>
            </w:r>
          </w:p>
        </w:tc>
      </w:tr>
      <w:tr w:rsidR="00AF5C09" w:rsidRPr="00AF5C09" w14:paraId="5E4708E6" w14:textId="77777777" w:rsidTr="000D2576">
        <w:trPr>
          <w:trHeight w:val="4823"/>
        </w:trPr>
        <w:tc>
          <w:tcPr>
            <w:tcW w:w="1020" w:type="dxa"/>
            <w:tcBorders>
              <w:top w:val="single" w:sz="8" w:space="0" w:color="auto"/>
              <w:left w:val="single" w:sz="8" w:space="0" w:color="auto"/>
              <w:bottom w:val="single" w:sz="4" w:space="0" w:color="auto"/>
              <w:right w:val="single" w:sz="8" w:space="0" w:color="auto"/>
            </w:tcBorders>
            <w:vAlign w:val="center"/>
            <w:hideMark/>
          </w:tcPr>
          <w:p w14:paraId="719A492D" w14:textId="4FA522B0" w:rsidR="00AF5C09" w:rsidRPr="00AF5C09" w:rsidRDefault="00AF5C09" w:rsidP="00AF5C09">
            <w:r>
              <w:rPr>
                <w:color w:val="000000"/>
                <w:sz w:val="18"/>
                <w:szCs w:val="18"/>
              </w:rPr>
              <w:lastRenderedPageBreak/>
              <w:t>Hrvatska poštanska banka d.d.</w:t>
            </w:r>
          </w:p>
        </w:tc>
        <w:tc>
          <w:tcPr>
            <w:tcW w:w="1091" w:type="dxa"/>
            <w:tcBorders>
              <w:top w:val="single" w:sz="8" w:space="0" w:color="auto"/>
              <w:left w:val="nil"/>
              <w:bottom w:val="single" w:sz="4" w:space="0" w:color="auto"/>
              <w:right w:val="single" w:sz="8" w:space="0" w:color="auto"/>
            </w:tcBorders>
            <w:vAlign w:val="center"/>
            <w:hideMark/>
          </w:tcPr>
          <w:p w14:paraId="46F6390F" w14:textId="1A0CBD34" w:rsidR="00AF5C09" w:rsidRPr="00AF5C09" w:rsidRDefault="00AF5C09" w:rsidP="00AF5C09">
            <w:r>
              <w:rPr>
                <w:color w:val="000000"/>
                <w:sz w:val="18"/>
                <w:szCs w:val="18"/>
              </w:rPr>
              <w:t>30.6.2022.</w:t>
            </w:r>
          </w:p>
        </w:tc>
        <w:tc>
          <w:tcPr>
            <w:tcW w:w="1000" w:type="dxa"/>
            <w:tcBorders>
              <w:top w:val="single" w:sz="8" w:space="0" w:color="auto"/>
              <w:left w:val="nil"/>
              <w:bottom w:val="single" w:sz="4" w:space="0" w:color="auto"/>
              <w:right w:val="single" w:sz="8" w:space="0" w:color="auto"/>
            </w:tcBorders>
            <w:vAlign w:val="center"/>
            <w:hideMark/>
          </w:tcPr>
          <w:p w14:paraId="6EF7DC13" w14:textId="5B9069E5" w:rsidR="00AF5C09" w:rsidRPr="00AF5C09" w:rsidRDefault="00AF5C09" w:rsidP="00AF5C09">
            <w:r>
              <w:rPr>
                <w:color w:val="000000"/>
                <w:sz w:val="18"/>
                <w:szCs w:val="18"/>
              </w:rPr>
              <w:t>19.7.2022.</w:t>
            </w:r>
          </w:p>
        </w:tc>
        <w:tc>
          <w:tcPr>
            <w:tcW w:w="1132" w:type="dxa"/>
            <w:tcBorders>
              <w:top w:val="single" w:sz="8" w:space="0" w:color="auto"/>
              <w:left w:val="nil"/>
              <w:bottom w:val="single" w:sz="4" w:space="0" w:color="auto"/>
              <w:right w:val="single" w:sz="8" w:space="0" w:color="auto"/>
            </w:tcBorders>
            <w:vAlign w:val="center"/>
            <w:hideMark/>
          </w:tcPr>
          <w:p w14:paraId="35C2A6C2" w14:textId="57CCEE4C" w:rsidR="00AF5C09" w:rsidRPr="00AF5C09" w:rsidRDefault="00AF5C09" w:rsidP="00AF5C09">
            <w:r>
              <w:rPr>
                <w:color w:val="000000"/>
                <w:sz w:val="18"/>
                <w:szCs w:val="18"/>
              </w:rPr>
              <w:t>5.988.886,06</w:t>
            </w:r>
          </w:p>
        </w:tc>
        <w:tc>
          <w:tcPr>
            <w:tcW w:w="810" w:type="dxa"/>
            <w:tcBorders>
              <w:top w:val="single" w:sz="8" w:space="0" w:color="auto"/>
              <w:left w:val="nil"/>
              <w:bottom w:val="single" w:sz="4" w:space="0" w:color="auto"/>
              <w:right w:val="single" w:sz="8" w:space="0" w:color="auto"/>
            </w:tcBorders>
            <w:vAlign w:val="center"/>
            <w:hideMark/>
          </w:tcPr>
          <w:p w14:paraId="07844303" w14:textId="5AB0C7C6" w:rsidR="00AF5C09" w:rsidRPr="00AF5C09" w:rsidRDefault="00AF5C09" w:rsidP="00AF5C09">
            <w:r>
              <w:rPr>
                <w:color w:val="000000"/>
                <w:sz w:val="18"/>
                <w:szCs w:val="18"/>
              </w:rPr>
              <w:t>2034.</w:t>
            </w:r>
          </w:p>
        </w:tc>
        <w:tc>
          <w:tcPr>
            <w:tcW w:w="924" w:type="dxa"/>
            <w:tcBorders>
              <w:top w:val="single" w:sz="8" w:space="0" w:color="auto"/>
              <w:left w:val="nil"/>
              <w:bottom w:val="single" w:sz="4" w:space="0" w:color="auto"/>
              <w:right w:val="single" w:sz="8" w:space="0" w:color="auto"/>
            </w:tcBorders>
            <w:vAlign w:val="center"/>
            <w:hideMark/>
          </w:tcPr>
          <w:p w14:paraId="780B7818" w14:textId="7CB848B7" w:rsidR="00AF5C09" w:rsidRPr="00AF5C09" w:rsidRDefault="00AF5C09" w:rsidP="00AF5C09">
            <w:r>
              <w:rPr>
                <w:color w:val="000000"/>
                <w:sz w:val="18"/>
                <w:szCs w:val="18"/>
              </w:rPr>
              <w:t>fiksna 0,29% nominalna i efektivna</w:t>
            </w:r>
          </w:p>
        </w:tc>
        <w:tc>
          <w:tcPr>
            <w:tcW w:w="847" w:type="dxa"/>
            <w:tcBorders>
              <w:top w:val="single" w:sz="8" w:space="0" w:color="auto"/>
              <w:left w:val="nil"/>
              <w:bottom w:val="single" w:sz="4" w:space="0" w:color="auto"/>
              <w:right w:val="single" w:sz="8" w:space="0" w:color="auto"/>
            </w:tcBorders>
            <w:vAlign w:val="center"/>
            <w:hideMark/>
          </w:tcPr>
          <w:p w14:paraId="6B0B1EC9" w14:textId="28A02761" w:rsidR="00AF5C09" w:rsidRPr="00AF5C09" w:rsidRDefault="00AF5C09" w:rsidP="00AF5C09">
            <w:r>
              <w:rPr>
                <w:color w:val="000000"/>
                <w:sz w:val="18"/>
                <w:szCs w:val="18"/>
              </w:rPr>
              <w:t>EUR</w:t>
            </w:r>
          </w:p>
        </w:tc>
        <w:tc>
          <w:tcPr>
            <w:tcW w:w="1182" w:type="dxa"/>
            <w:tcBorders>
              <w:top w:val="single" w:sz="8" w:space="0" w:color="auto"/>
              <w:left w:val="nil"/>
              <w:bottom w:val="single" w:sz="4" w:space="0" w:color="auto"/>
              <w:right w:val="single" w:sz="8" w:space="0" w:color="auto"/>
            </w:tcBorders>
            <w:vAlign w:val="center"/>
            <w:hideMark/>
          </w:tcPr>
          <w:p w14:paraId="24A8FEC8" w14:textId="3B5BFF32" w:rsidR="00AF5C09" w:rsidRPr="00AF5C09" w:rsidRDefault="00AF5C09" w:rsidP="00AF5C09">
            <w:r>
              <w:rPr>
                <w:color w:val="000000"/>
                <w:sz w:val="18"/>
                <w:szCs w:val="18"/>
              </w:rPr>
              <w:t xml:space="preserve">IT park Osijek, Kupovina poslovnih objekata, Izgradnja cesta, Rekonstrukcija i dogradnja Dječjeg vrtića Latica-Gornji grad, Izgradnja DV Uske njive, Izgradnja DV Vijenac lipa-Cvjetno naselje, Izgradnja i rekonstrukcija sportskih objekata, Industrijska zona </w:t>
            </w:r>
            <w:proofErr w:type="spellStart"/>
            <w:r>
              <w:rPr>
                <w:color w:val="000000"/>
                <w:sz w:val="18"/>
                <w:szCs w:val="18"/>
              </w:rPr>
              <w:t>Nemetin</w:t>
            </w:r>
            <w:proofErr w:type="spellEnd"/>
            <w:r>
              <w:rPr>
                <w:color w:val="000000"/>
                <w:sz w:val="18"/>
                <w:szCs w:val="18"/>
              </w:rPr>
              <w:t xml:space="preserve"> III. Faza, Uređenje ''Tržnice'' Osijek</w:t>
            </w:r>
          </w:p>
        </w:tc>
        <w:tc>
          <w:tcPr>
            <w:tcW w:w="1132" w:type="dxa"/>
            <w:tcBorders>
              <w:top w:val="single" w:sz="8" w:space="0" w:color="auto"/>
              <w:left w:val="nil"/>
              <w:bottom w:val="single" w:sz="4" w:space="0" w:color="auto"/>
              <w:right w:val="single" w:sz="8" w:space="0" w:color="auto"/>
            </w:tcBorders>
            <w:vAlign w:val="center"/>
            <w:hideMark/>
          </w:tcPr>
          <w:p w14:paraId="0242F894" w14:textId="3C5E59CA" w:rsidR="00AF5C09" w:rsidRPr="00AF5C09" w:rsidRDefault="00AF5C09" w:rsidP="00AF5C09">
            <w:r>
              <w:rPr>
                <w:color w:val="000000"/>
                <w:sz w:val="18"/>
                <w:szCs w:val="18"/>
              </w:rPr>
              <w:t>5.090.554,39</w:t>
            </w:r>
          </w:p>
        </w:tc>
      </w:tr>
      <w:tr w:rsidR="00AF5C09" w:rsidRPr="00AF5C09" w14:paraId="70C4EDAF" w14:textId="77777777" w:rsidTr="000D2576">
        <w:trPr>
          <w:trHeight w:val="1700"/>
        </w:trPr>
        <w:tc>
          <w:tcPr>
            <w:tcW w:w="1020" w:type="dxa"/>
            <w:tcBorders>
              <w:top w:val="single" w:sz="4" w:space="0" w:color="auto"/>
              <w:left w:val="single" w:sz="8" w:space="0" w:color="auto"/>
              <w:bottom w:val="single" w:sz="8" w:space="0" w:color="auto"/>
              <w:right w:val="single" w:sz="8" w:space="0" w:color="auto"/>
            </w:tcBorders>
            <w:vAlign w:val="center"/>
            <w:hideMark/>
          </w:tcPr>
          <w:p w14:paraId="662D562B" w14:textId="52A17D38" w:rsidR="00AF5C09" w:rsidRPr="00AF5C09" w:rsidRDefault="00AF5C09" w:rsidP="00AF5C09">
            <w:r>
              <w:rPr>
                <w:color w:val="000000"/>
                <w:sz w:val="18"/>
                <w:szCs w:val="18"/>
              </w:rPr>
              <w:t>OTP banka d.d.</w:t>
            </w:r>
          </w:p>
        </w:tc>
        <w:tc>
          <w:tcPr>
            <w:tcW w:w="1091" w:type="dxa"/>
            <w:tcBorders>
              <w:top w:val="single" w:sz="4" w:space="0" w:color="auto"/>
              <w:left w:val="nil"/>
              <w:bottom w:val="single" w:sz="8" w:space="0" w:color="auto"/>
              <w:right w:val="single" w:sz="8" w:space="0" w:color="auto"/>
            </w:tcBorders>
            <w:vAlign w:val="center"/>
            <w:hideMark/>
          </w:tcPr>
          <w:p w14:paraId="744F8EB4" w14:textId="75C02B7E" w:rsidR="00AF5C09" w:rsidRPr="00AF5C09" w:rsidRDefault="00AF5C09" w:rsidP="00AF5C09">
            <w:r>
              <w:rPr>
                <w:color w:val="000000"/>
                <w:sz w:val="18"/>
                <w:szCs w:val="18"/>
              </w:rPr>
              <w:t>27.10.2022.</w:t>
            </w:r>
          </w:p>
        </w:tc>
        <w:tc>
          <w:tcPr>
            <w:tcW w:w="1000" w:type="dxa"/>
            <w:tcBorders>
              <w:top w:val="single" w:sz="4" w:space="0" w:color="auto"/>
              <w:left w:val="nil"/>
              <w:bottom w:val="single" w:sz="8" w:space="0" w:color="auto"/>
              <w:right w:val="single" w:sz="8" w:space="0" w:color="auto"/>
            </w:tcBorders>
            <w:vAlign w:val="center"/>
            <w:hideMark/>
          </w:tcPr>
          <w:p w14:paraId="2B227C7D" w14:textId="1A6621A4" w:rsidR="00AF5C09" w:rsidRPr="00AF5C09" w:rsidRDefault="00AF5C09" w:rsidP="00AF5C09">
            <w:r>
              <w:rPr>
                <w:color w:val="000000"/>
                <w:sz w:val="18"/>
                <w:szCs w:val="18"/>
              </w:rPr>
              <w:t>8.12.2022.</w:t>
            </w:r>
          </w:p>
        </w:tc>
        <w:tc>
          <w:tcPr>
            <w:tcW w:w="1132" w:type="dxa"/>
            <w:tcBorders>
              <w:top w:val="single" w:sz="4" w:space="0" w:color="auto"/>
              <w:left w:val="nil"/>
              <w:bottom w:val="single" w:sz="8" w:space="0" w:color="auto"/>
              <w:right w:val="single" w:sz="8" w:space="0" w:color="auto"/>
            </w:tcBorders>
            <w:vAlign w:val="center"/>
            <w:hideMark/>
          </w:tcPr>
          <w:p w14:paraId="650E8CDE" w14:textId="4162AB3B" w:rsidR="00AF5C09" w:rsidRPr="00AF5C09" w:rsidRDefault="00AF5C09" w:rsidP="00AF5C09">
            <w:r>
              <w:rPr>
                <w:color w:val="000000"/>
                <w:sz w:val="18"/>
                <w:szCs w:val="18"/>
              </w:rPr>
              <w:t>3.927.669,73</w:t>
            </w:r>
          </w:p>
        </w:tc>
        <w:tc>
          <w:tcPr>
            <w:tcW w:w="810" w:type="dxa"/>
            <w:tcBorders>
              <w:top w:val="single" w:sz="4" w:space="0" w:color="auto"/>
              <w:left w:val="nil"/>
              <w:bottom w:val="single" w:sz="8" w:space="0" w:color="auto"/>
              <w:right w:val="single" w:sz="8" w:space="0" w:color="auto"/>
            </w:tcBorders>
            <w:vAlign w:val="center"/>
            <w:hideMark/>
          </w:tcPr>
          <w:p w14:paraId="7A3F0918" w14:textId="6C9FCE7D" w:rsidR="00AF5C09" w:rsidRPr="00AF5C09" w:rsidRDefault="00AF5C09" w:rsidP="00AF5C09">
            <w:r>
              <w:rPr>
                <w:color w:val="000000"/>
                <w:sz w:val="18"/>
                <w:szCs w:val="18"/>
              </w:rPr>
              <w:t>2032.</w:t>
            </w:r>
          </w:p>
        </w:tc>
        <w:tc>
          <w:tcPr>
            <w:tcW w:w="924" w:type="dxa"/>
            <w:tcBorders>
              <w:top w:val="single" w:sz="4" w:space="0" w:color="auto"/>
              <w:left w:val="nil"/>
              <w:bottom w:val="single" w:sz="8" w:space="0" w:color="auto"/>
              <w:right w:val="single" w:sz="8" w:space="0" w:color="auto"/>
            </w:tcBorders>
            <w:vAlign w:val="center"/>
            <w:hideMark/>
          </w:tcPr>
          <w:p w14:paraId="5F4CE5DD" w14:textId="20ABC061" w:rsidR="00AF5C09" w:rsidRPr="00AF5C09" w:rsidRDefault="00AF5C09" w:rsidP="00AF5C09">
            <w:r>
              <w:rPr>
                <w:color w:val="000000"/>
                <w:sz w:val="18"/>
                <w:szCs w:val="18"/>
              </w:rPr>
              <w:t>fiksna 1,20% nominalna i 1,23% efektivna</w:t>
            </w:r>
          </w:p>
        </w:tc>
        <w:tc>
          <w:tcPr>
            <w:tcW w:w="847" w:type="dxa"/>
            <w:tcBorders>
              <w:top w:val="single" w:sz="4" w:space="0" w:color="auto"/>
              <w:left w:val="nil"/>
              <w:bottom w:val="single" w:sz="8" w:space="0" w:color="auto"/>
              <w:right w:val="single" w:sz="8" w:space="0" w:color="auto"/>
            </w:tcBorders>
            <w:vAlign w:val="center"/>
            <w:hideMark/>
          </w:tcPr>
          <w:p w14:paraId="241B2AC6" w14:textId="3599C71B" w:rsidR="00AF5C09" w:rsidRPr="00AF5C09" w:rsidRDefault="00AF5C09" w:rsidP="00AF5C09">
            <w:r>
              <w:rPr>
                <w:color w:val="000000"/>
                <w:sz w:val="18"/>
                <w:szCs w:val="18"/>
              </w:rPr>
              <w:t>EUR</w:t>
            </w:r>
          </w:p>
        </w:tc>
        <w:tc>
          <w:tcPr>
            <w:tcW w:w="1182" w:type="dxa"/>
            <w:tcBorders>
              <w:top w:val="single" w:sz="4" w:space="0" w:color="auto"/>
              <w:left w:val="nil"/>
              <w:bottom w:val="single" w:sz="8" w:space="0" w:color="auto"/>
              <w:right w:val="single" w:sz="8" w:space="0" w:color="auto"/>
            </w:tcBorders>
            <w:vAlign w:val="center"/>
            <w:hideMark/>
          </w:tcPr>
          <w:p w14:paraId="4144BF74" w14:textId="083CEA00" w:rsidR="00AF5C09" w:rsidRPr="00AF5C09" w:rsidRDefault="00AF5C09" w:rsidP="00AF5C09">
            <w:r>
              <w:rPr>
                <w:color w:val="000000"/>
                <w:sz w:val="18"/>
                <w:szCs w:val="18"/>
              </w:rPr>
              <w:t>Razvoj i unaprjeđenje osječke Tvrđe, Rekonstrukcija i izgradnja dječjih vrtića</w:t>
            </w:r>
          </w:p>
        </w:tc>
        <w:tc>
          <w:tcPr>
            <w:tcW w:w="1132" w:type="dxa"/>
            <w:tcBorders>
              <w:top w:val="single" w:sz="4" w:space="0" w:color="auto"/>
              <w:left w:val="nil"/>
              <w:bottom w:val="single" w:sz="8" w:space="0" w:color="auto"/>
              <w:right w:val="single" w:sz="8" w:space="0" w:color="auto"/>
            </w:tcBorders>
            <w:vAlign w:val="center"/>
            <w:hideMark/>
          </w:tcPr>
          <w:p w14:paraId="05719099" w14:textId="55DE7245" w:rsidR="00AF5C09" w:rsidRPr="00AF5C09" w:rsidRDefault="00AF5C09" w:rsidP="00AF5C09">
            <w:r>
              <w:rPr>
                <w:color w:val="000000"/>
                <w:sz w:val="18"/>
                <w:szCs w:val="18"/>
              </w:rPr>
              <w:t>3.313.971,28</w:t>
            </w:r>
          </w:p>
        </w:tc>
      </w:tr>
      <w:tr w:rsidR="00AF5C09" w:rsidRPr="00AF5C09" w14:paraId="1C79A783" w14:textId="77777777" w:rsidTr="000D2576">
        <w:trPr>
          <w:trHeight w:val="496"/>
        </w:trPr>
        <w:tc>
          <w:tcPr>
            <w:tcW w:w="1020" w:type="dxa"/>
            <w:tcBorders>
              <w:top w:val="nil"/>
              <w:left w:val="single" w:sz="8" w:space="0" w:color="auto"/>
              <w:bottom w:val="single" w:sz="8" w:space="0" w:color="auto"/>
              <w:right w:val="single" w:sz="8" w:space="0" w:color="auto"/>
            </w:tcBorders>
            <w:vAlign w:val="center"/>
            <w:hideMark/>
          </w:tcPr>
          <w:p w14:paraId="4DDF43F1" w14:textId="196AB27D" w:rsidR="00AF5C09" w:rsidRPr="00AF5C09" w:rsidRDefault="00AF5C09" w:rsidP="00AF5C09">
            <w:r>
              <w:rPr>
                <w:color w:val="000000"/>
                <w:sz w:val="18"/>
                <w:szCs w:val="18"/>
              </w:rPr>
              <w:t>Ukupna glavnica</w:t>
            </w:r>
          </w:p>
        </w:tc>
        <w:tc>
          <w:tcPr>
            <w:tcW w:w="1091" w:type="dxa"/>
            <w:tcBorders>
              <w:top w:val="nil"/>
              <w:left w:val="nil"/>
              <w:bottom w:val="single" w:sz="8" w:space="0" w:color="auto"/>
              <w:right w:val="single" w:sz="8" w:space="0" w:color="auto"/>
            </w:tcBorders>
            <w:vAlign w:val="center"/>
            <w:hideMark/>
          </w:tcPr>
          <w:p w14:paraId="093E47A6" w14:textId="290383CB" w:rsidR="00AF5C09" w:rsidRPr="00AF5C09" w:rsidRDefault="00AF5C09" w:rsidP="00AF5C09">
            <w:r>
              <w:rPr>
                <w:color w:val="000000"/>
                <w:sz w:val="18"/>
                <w:szCs w:val="18"/>
              </w:rPr>
              <w:t> </w:t>
            </w:r>
          </w:p>
        </w:tc>
        <w:tc>
          <w:tcPr>
            <w:tcW w:w="1000" w:type="dxa"/>
            <w:tcBorders>
              <w:top w:val="nil"/>
              <w:left w:val="nil"/>
              <w:bottom w:val="single" w:sz="8" w:space="0" w:color="auto"/>
              <w:right w:val="single" w:sz="8" w:space="0" w:color="auto"/>
            </w:tcBorders>
            <w:vAlign w:val="center"/>
            <w:hideMark/>
          </w:tcPr>
          <w:p w14:paraId="354F6FA4" w14:textId="6B172041" w:rsidR="00AF5C09" w:rsidRPr="00AF5C09" w:rsidRDefault="00AF5C09" w:rsidP="00AF5C09">
            <w:r>
              <w:rPr>
                <w:color w:val="000000"/>
                <w:sz w:val="18"/>
                <w:szCs w:val="18"/>
              </w:rPr>
              <w:t> </w:t>
            </w:r>
          </w:p>
        </w:tc>
        <w:tc>
          <w:tcPr>
            <w:tcW w:w="1132" w:type="dxa"/>
            <w:tcBorders>
              <w:top w:val="nil"/>
              <w:left w:val="nil"/>
              <w:bottom w:val="single" w:sz="8" w:space="0" w:color="auto"/>
              <w:right w:val="single" w:sz="8" w:space="0" w:color="auto"/>
            </w:tcBorders>
            <w:vAlign w:val="center"/>
            <w:hideMark/>
          </w:tcPr>
          <w:p w14:paraId="437AB33B" w14:textId="562E9BBF" w:rsidR="00AF5C09" w:rsidRPr="00AF5C09" w:rsidRDefault="00AF5C09" w:rsidP="00AF5C09">
            <w:r>
              <w:rPr>
                <w:color w:val="000000"/>
                <w:sz w:val="18"/>
                <w:szCs w:val="18"/>
              </w:rPr>
              <w:t>41.429.420,43</w:t>
            </w:r>
          </w:p>
        </w:tc>
        <w:tc>
          <w:tcPr>
            <w:tcW w:w="810" w:type="dxa"/>
            <w:tcBorders>
              <w:top w:val="nil"/>
              <w:left w:val="nil"/>
              <w:bottom w:val="single" w:sz="8" w:space="0" w:color="auto"/>
              <w:right w:val="single" w:sz="8" w:space="0" w:color="auto"/>
            </w:tcBorders>
            <w:vAlign w:val="center"/>
            <w:hideMark/>
          </w:tcPr>
          <w:p w14:paraId="553AB14E" w14:textId="5AB598A3" w:rsidR="00AF5C09" w:rsidRPr="00AF5C09" w:rsidRDefault="00AF5C09" w:rsidP="00AF5C09">
            <w:r>
              <w:rPr>
                <w:color w:val="000000"/>
                <w:sz w:val="18"/>
                <w:szCs w:val="18"/>
              </w:rPr>
              <w:t> </w:t>
            </w:r>
          </w:p>
        </w:tc>
        <w:tc>
          <w:tcPr>
            <w:tcW w:w="924" w:type="dxa"/>
            <w:tcBorders>
              <w:top w:val="nil"/>
              <w:left w:val="nil"/>
              <w:bottom w:val="single" w:sz="8" w:space="0" w:color="auto"/>
              <w:right w:val="single" w:sz="8" w:space="0" w:color="auto"/>
            </w:tcBorders>
            <w:vAlign w:val="center"/>
            <w:hideMark/>
          </w:tcPr>
          <w:p w14:paraId="47B0D321" w14:textId="31A5511F" w:rsidR="00AF5C09" w:rsidRPr="00AF5C09" w:rsidRDefault="00AF5C09" w:rsidP="00AF5C09">
            <w:r>
              <w:rPr>
                <w:color w:val="000000"/>
                <w:sz w:val="18"/>
                <w:szCs w:val="18"/>
              </w:rPr>
              <w:t> </w:t>
            </w:r>
          </w:p>
        </w:tc>
        <w:tc>
          <w:tcPr>
            <w:tcW w:w="847" w:type="dxa"/>
            <w:tcBorders>
              <w:top w:val="nil"/>
              <w:left w:val="nil"/>
              <w:bottom w:val="single" w:sz="8" w:space="0" w:color="auto"/>
              <w:right w:val="single" w:sz="8" w:space="0" w:color="auto"/>
            </w:tcBorders>
            <w:vAlign w:val="center"/>
            <w:hideMark/>
          </w:tcPr>
          <w:p w14:paraId="65A07200" w14:textId="7E9D8199" w:rsidR="00AF5C09" w:rsidRPr="00AF5C09" w:rsidRDefault="00AF5C09" w:rsidP="00AF5C09">
            <w:r>
              <w:rPr>
                <w:color w:val="000000"/>
                <w:sz w:val="18"/>
                <w:szCs w:val="18"/>
              </w:rPr>
              <w:t> </w:t>
            </w:r>
          </w:p>
        </w:tc>
        <w:tc>
          <w:tcPr>
            <w:tcW w:w="1182" w:type="dxa"/>
            <w:tcBorders>
              <w:top w:val="nil"/>
              <w:left w:val="nil"/>
              <w:bottom w:val="single" w:sz="8" w:space="0" w:color="auto"/>
              <w:right w:val="single" w:sz="8" w:space="0" w:color="auto"/>
            </w:tcBorders>
            <w:vAlign w:val="center"/>
            <w:hideMark/>
          </w:tcPr>
          <w:p w14:paraId="5742621C" w14:textId="3D6A1179" w:rsidR="00AF5C09" w:rsidRPr="00AF5C09" w:rsidRDefault="00AF5C09" w:rsidP="00AF5C09">
            <w:r>
              <w:rPr>
                <w:color w:val="000000"/>
                <w:sz w:val="18"/>
                <w:szCs w:val="18"/>
              </w:rPr>
              <w:t> </w:t>
            </w:r>
          </w:p>
        </w:tc>
        <w:tc>
          <w:tcPr>
            <w:tcW w:w="1132" w:type="dxa"/>
            <w:tcBorders>
              <w:top w:val="nil"/>
              <w:left w:val="nil"/>
              <w:bottom w:val="single" w:sz="8" w:space="0" w:color="auto"/>
              <w:right w:val="single" w:sz="8" w:space="0" w:color="auto"/>
            </w:tcBorders>
            <w:vAlign w:val="center"/>
            <w:hideMark/>
          </w:tcPr>
          <w:p w14:paraId="28BAAC88" w14:textId="4512A551" w:rsidR="00AF5C09" w:rsidRPr="00AF5C09" w:rsidRDefault="00AF5C09" w:rsidP="00AF5C09">
            <w:r>
              <w:rPr>
                <w:color w:val="000000"/>
                <w:sz w:val="18"/>
                <w:szCs w:val="18"/>
              </w:rPr>
              <w:t>27.810.213,15</w:t>
            </w:r>
          </w:p>
        </w:tc>
      </w:tr>
    </w:tbl>
    <w:p w14:paraId="4DFE04B8" w14:textId="7EC6D3B9" w:rsidR="003E20DF" w:rsidRDefault="003E20DF"/>
    <w:p w14:paraId="2507E0AF" w14:textId="77777777" w:rsidR="003E20DF" w:rsidRDefault="003E20DF"/>
    <w:p w14:paraId="3A436B3F" w14:textId="77777777" w:rsidR="003E20DF" w:rsidRDefault="00F01A5C">
      <w:pPr>
        <w:keepNext/>
        <w:spacing w:line="240" w:lineRule="auto"/>
        <w:jc w:val="center"/>
      </w:pPr>
      <w:r>
        <w:rPr>
          <w:sz w:val="28"/>
        </w:rPr>
        <w:t>Bilješka 84.</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20DF" w14:paraId="2B69BA7C" w14:textId="77777777">
        <w:trPr>
          <w:cantSplit/>
        </w:trPr>
        <w:tc>
          <w:tcPr>
            <w:tcW w:w="700" w:type="dxa"/>
            <w:shd w:val="clear" w:color="auto" w:fill="E7F0F9"/>
            <w:tcMar>
              <w:top w:w="0" w:type="dxa"/>
              <w:bottom w:w="0" w:type="dxa"/>
            </w:tcMar>
            <w:vAlign w:val="center"/>
          </w:tcPr>
          <w:p w14:paraId="47762947" w14:textId="77777777" w:rsidR="003E20DF" w:rsidRDefault="00F01A5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B1A5705" w14:textId="77777777" w:rsidR="003E20DF" w:rsidRDefault="00F01A5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C892691" w14:textId="77777777" w:rsidR="003E20DF" w:rsidRDefault="00F01A5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4997B05" w14:textId="77777777" w:rsidR="003E20DF" w:rsidRDefault="00F01A5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F112955" w14:textId="77777777" w:rsidR="003E20DF" w:rsidRDefault="00F01A5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06B9CC3" w14:textId="77777777" w:rsidR="003E20DF" w:rsidRDefault="00F01A5C">
            <w:pPr>
              <w:keepNext/>
              <w:keepLines/>
              <w:spacing w:after="0" w:line="240" w:lineRule="auto"/>
              <w:jc w:val="center"/>
            </w:pPr>
            <w:r>
              <w:rPr>
                <w:b/>
                <w:sz w:val="18"/>
              </w:rPr>
              <w:t>Indeks (%)</w:t>
            </w:r>
          </w:p>
        </w:tc>
      </w:tr>
      <w:tr w:rsidR="003E20DF" w14:paraId="5506AFFC" w14:textId="77777777">
        <w:trPr>
          <w:cantSplit/>
          <w:trHeight w:val="560"/>
        </w:trPr>
        <w:tc>
          <w:tcPr>
            <w:tcW w:w="700" w:type="dxa"/>
            <w:tcMar>
              <w:top w:w="0" w:type="dxa"/>
              <w:bottom w:w="0" w:type="dxa"/>
            </w:tcMar>
            <w:vAlign w:val="center"/>
          </w:tcPr>
          <w:p w14:paraId="1223F221" w14:textId="77777777" w:rsidR="003E20DF" w:rsidRDefault="00F01A5C">
            <w:pPr>
              <w:keepNext/>
              <w:keepLines/>
              <w:spacing w:after="0" w:line="240" w:lineRule="auto"/>
            </w:pPr>
            <w:r>
              <w:rPr>
                <w:sz w:val="18"/>
              </w:rPr>
              <w:t>29</w:t>
            </w:r>
          </w:p>
        </w:tc>
        <w:tc>
          <w:tcPr>
            <w:tcW w:w="3180" w:type="dxa"/>
            <w:tcMar>
              <w:top w:w="0" w:type="dxa"/>
              <w:bottom w:w="0" w:type="dxa"/>
            </w:tcMar>
            <w:vAlign w:val="center"/>
          </w:tcPr>
          <w:p w14:paraId="080C8F9E" w14:textId="77777777" w:rsidR="003E20DF" w:rsidRDefault="00F01A5C">
            <w:pPr>
              <w:keepNext/>
              <w:keepLines/>
              <w:spacing w:after="0" w:line="240" w:lineRule="auto"/>
            </w:pPr>
            <w:r>
              <w:rPr>
                <w:sz w:val="18"/>
              </w:rPr>
              <w:t>Odgođeno plaćanje rashoda i prihodi budućih razdoblja (pasivna vremenska razgraničenja) (šifre 291+292)</w:t>
            </w:r>
          </w:p>
        </w:tc>
        <w:tc>
          <w:tcPr>
            <w:tcW w:w="700" w:type="dxa"/>
            <w:tcMar>
              <w:top w:w="0" w:type="dxa"/>
              <w:bottom w:w="0" w:type="dxa"/>
            </w:tcMar>
            <w:vAlign w:val="center"/>
          </w:tcPr>
          <w:p w14:paraId="64EE59A4" w14:textId="77777777" w:rsidR="003E20DF" w:rsidRDefault="00F01A5C">
            <w:pPr>
              <w:keepNext/>
              <w:keepLines/>
              <w:spacing w:after="0" w:line="240" w:lineRule="auto"/>
            </w:pPr>
            <w:r>
              <w:rPr>
                <w:sz w:val="18"/>
              </w:rPr>
              <w:t>29</w:t>
            </w:r>
          </w:p>
        </w:tc>
        <w:tc>
          <w:tcPr>
            <w:tcW w:w="1860" w:type="dxa"/>
            <w:tcMar>
              <w:top w:w="0" w:type="dxa"/>
              <w:bottom w:w="0" w:type="dxa"/>
            </w:tcMar>
            <w:vAlign w:val="center"/>
          </w:tcPr>
          <w:p w14:paraId="26F1E017" w14:textId="77777777" w:rsidR="003E20DF" w:rsidRDefault="00F01A5C">
            <w:pPr>
              <w:keepNext/>
              <w:keepLines/>
              <w:spacing w:after="0" w:line="240" w:lineRule="auto"/>
              <w:jc w:val="right"/>
            </w:pPr>
            <w:r>
              <w:rPr>
                <w:sz w:val="18"/>
              </w:rPr>
              <w:t>661.920,48</w:t>
            </w:r>
          </w:p>
        </w:tc>
        <w:tc>
          <w:tcPr>
            <w:tcW w:w="1860" w:type="dxa"/>
            <w:tcMar>
              <w:top w:w="0" w:type="dxa"/>
              <w:bottom w:w="0" w:type="dxa"/>
            </w:tcMar>
            <w:vAlign w:val="center"/>
          </w:tcPr>
          <w:p w14:paraId="282EA155" w14:textId="77777777" w:rsidR="003E20DF" w:rsidRDefault="00F01A5C">
            <w:pPr>
              <w:keepNext/>
              <w:keepLines/>
              <w:spacing w:after="0" w:line="240" w:lineRule="auto"/>
              <w:jc w:val="right"/>
            </w:pPr>
            <w:r>
              <w:rPr>
                <w:sz w:val="18"/>
              </w:rPr>
              <w:t>661.920,48</w:t>
            </w:r>
          </w:p>
        </w:tc>
        <w:tc>
          <w:tcPr>
            <w:tcW w:w="700" w:type="dxa"/>
            <w:tcMar>
              <w:top w:w="0" w:type="dxa"/>
              <w:bottom w:w="0" w:type="dxa"/>
            </w:tcMar>
            <w:vAlign w:val="center"/>
          </w:tcPr>
          <w:p w14:paraId="1FEFFE97" w14:textId="77777777" w:rsidR="003E20DF" w:rsidRDefault="00F01A5C">
            <w:pPr>
              <w:keepNext/>
              <w:keepLines/>
              <w:spacing w:after="0" w:line="240" w:lineRule="auto"/>
              <w:jc w:val="right"/>
            </w:pPr>
            <w:r>
              <w:rPr>
                <w:sz w:val="18"/>
              </w:rPr>
              <w:t>100</w:t>
            </w:r>
          </w:p>
        </w:tc>
      </w:tr>
    </w:tbl>
    <w:p w14:paraId="7C9A3B2C" w14:textId="77777777" w:rsidR="003E20DF" w:rsidRDefault="003E20DF">
      <w:pPr>
        <w:spacing w:after="0"/>
      </w:pPr>
    </w:p>
    <w:p w14:paraId="43DD0504" w14:textId="77777777" w:rsidR="003E20DF" w:rsidRDefault="00F01A5C" w:rsidP="00882057">
      <w:pPr>
        <w:ind w:firstLine="708"/>
        <w:jc w:val="both"/>
      </w:pPr>
      <w:r>
        <w:t>U okviru konta 29-Unaprijed naplaćeni prihodi iskazani su unaprijed naplaćeni prihodi iz ranijih godina u svoti od 661.920,48 eura od privatnog poduzetnika (budući komunalni doprinos) korištena za financiranje izgradnje ceste.</w:t>
      </w:r>
    </w:p>
    <w:p w14:paraId="11163203" w14:textId="77777777" w:rsidR="003E20DF" w:rsidRDefault="003E20DF"/>
    <w:p w14:paraId="11EBC2D5" w14:textId="77777777" w:rsidR="00236FC9" w:rsidRDefault="00236FC9"/>
    <w:p w14:paraId="666E1B40" w14:textId="77777777" w:rsidR="00236FC9" w:rsidRDefault="00236FC9"/>
    <w:p w14:paraId="1B89627A" w14:textId="77777777" w:rsidR="003E20DF" w:rsidRDefault="00F01A5C">
      <w:pPr>
        <w:keepNext/>
        <w:spacing w:line="240" w:lineRule="auto"/>
        <w:jc w:val="center"/>
      </w:pPr>
      <w:r>
        <w:rPr>
          <w:sz w:val="28"/>
        </w:rPr>
        <w:lastRenderedPageBreak/>
        <w:t>Bilješka 85.</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20DF" w14:paraId="781831B4" w14:textId="77777777">
        <w:trPr>
          <w:cantSplit/>
        </w:trPr>
        <w:tc>
          <w:tcPr>
            <w:tcW w:w="700" w:type="dxa"/>
            <w:shd w:val="clear" w:color="auto" w:fill="E7F0F9"/>
            <w:tcMar>
              <w:top w:w="0" w:type="dxa"/>
              <w:bottom w:w="0" w:type="dxa"/>
            </w:tcMar>
            <w:vAlign w:val="center"/>
          </w:tcPr>
          <w:p w14:paraId="00939D71" w14:textId="77777777" w:rsidR="003E20DF" w:rsidRDefault="00F01A5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A0BB797" w14:textId="77777777" w:rsidR="003E20DF" w:rsidRDefault="00F01A5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E8EF6E4" w14:textId="77777777" w:rsidR="003E20DF" w:rsidRDefault="00F01A5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DA288BA" w14:textId="77777777" w:rsidR="003E20DF" w:rsidRDefault="00F01A5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F644A2B" w14:textId="77777777" w:rsidR="003E20DF" w:rsidRDefault="00F01A5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57E448A" w14:textId="77777777" w:rsidR="003E20DF" w:rsidRDefault="00F01A5C">
            <w:pPr>
              <w:keepNext/>
              <w:keepLines/>
              <w:spacing w:after="0" w:line="240" w:lineRule="auto"/>
              <w:jc w:val="center"/>
            </w:pPr>
            <w:r>
              <w:rPr>
                <w:b/>
                <w:sz w:val="18"/>
              </w:rPr>
              <w:t>Indeks (%)</w:t>
            </w:r>
          </w:p>
        </w:tc>
      </w:tr>
      <w:tr w:rsidR="003E20DF" w14:paraId="1738122B" w14:textId="77777777">
        <w:trPr>
          <w:cantSplit/>
          <w:trHeight w:val="560"/>
        </w:trPr>
        <w:tc>
          <w:tcPr>
            <w:tcW w:w="700" w:type="dxa"/>
            <w:tcMar>
              <w:top w:w="0" w:type="dxa"/>
              <w:bottom w:w="0" w:type="dxa"/>
            </w:tcMar>
            <w:vAlign w:val="center"/>
          </w:tcPr>
          <w:p w14:paraId="5337C2D8" w14:textId="77777777" w:rsidR="003E20DF" w:rsidRDefault="00F01A5C">
            <w:pPr>
              <w:keepNext/>
              <w:keepLines/>
              <w:spacing w:after="0" w:line="240" w:lineRule="auto"/>
            </w:pPr>
            <w:r>
              <w:rPr>
                <w:sz w:val="18"/>
              </w:rPr>
              <w:t>9</w:t>
            </w:r>
          </w:p>
        </w:tc>
        <w:tc>
          <w:tcPr>
            <w:tcW w:w="3180" w:type="dxa"/>
            <w:tcMar>
              <w:top w:w="0" w:type="dxa"/>
              <w:bottom w:w="0" w:type="dxa"/>
            </w:tcMar>
            <w:vAlign w:val="center"/>
          </w:tcPr>
          <w:p w14:paraId="1D3ACD6F" w14:textId="77777777" w:rsidR="003E20DF" w:rsidRDefault="00F01A5C">
            <w:pPr>
              <w:keepNext/>
              <w:keepLines/>
              <w:spacing w:after="0" w:line="240" w:lineRule="auto"/>
            </w:pPr>
            <w:r>
              <w:rPr>
                <w:sz w:val="18"/>
              </w:rPr>
              <w:t>Vlastiti izvori (šifre 91 + 922 - 93 + 96 + 97)</w:t>
            </w:r>
          </w:p>
        </w:tc>
        <w:tc>
          <w:tcPr>
            <w:tcW w:w="700" w:type="dxa"/>
            <w:tcMar>
              <w:top w:w="0" w:type="dxa"/>
              <w:bottom w:w="0" w:type="dxa"/>
            </w:tcMar>
            <w:vAlign w:val="center"/>
          </w:tcPr>
          <w:p w14:paraId="73E7E38D" w14:textId="77777777" w:rsidR="003E20DF" w:rsidRDefault="00F01A5C">
            <w:pPr>
              <w:keepNext/>
              <w:keepLines/>
              <w:spacing w:after="0" w:line="240" w:lineRule="auto"/>
            </w:pPr>
            <w:r>
              <w:rPr>
                <w:sz w:val="18"/>
              </w:rPr>
              <w:t>9</w:t>
            </w:r>
          </w:p>
        </w:tc>
        <w:tc>
          <w:tcPr>
            <w:tcW w:w="1860" w:type="dxa"/>
            <w:tcMar>
              <w:top w:w="0" w:type="dxa"/>
              <w:bottom w:w="0" w:type="dxa"/>
            </w:tcMar>
            <w:vAlign w:val="center"/>
          </w:tcPr>
          <w:p w14:paraId="22119C53" w14:textId="77777777" w:rsidR="003E20DF" w:rsidRDefault="00F01A5C">
            <w:pPr>
              <w:keepNext/>
              <w:keepLines/>
              <w:spacing w:after="0" w:line="240" w:lineRule="auto"/>
              <w:jc w:val="right"/>
            </w:pPr>
            <w:r>
              <w:rPr>
                <w:sz w:val="18"/>
              </w:rPr>
              <w:t>413.346.381,55</w:t>
            </w:r>
          </w:p>
        </w:tc>
        <w:tc>
          <w:tcPr>
            <w:tcW w:w="1860" w:type="dxa"/>
            <w:tcMar>
              <w:top w:w="0" w:type="dxa"/>
              <w:bottom w:w="0" w:type="dxa"/>
            </w:tcMar>
            <w:vAlign w:val="center"/>
          </w:tcPr>
          <w:p w14:paraId="18A6D89F" w14:textId="77777777" w:rsidR="003E20DF" w:rsidRDefault="00F01A5C">
            <w:pPr>
              <w:keepNext/>
              <w:keepLines/>
              <w:spacing w:after="0" w:line="240" w:lineRule="auto"/>
              <w:jc w:val="right"/>
            </w:pPr>
            <w:r>
              <w:rPr>
                <w:sz w:val="18"/>
              </w:rPr>
              <w:t>489.470.190,60</w:t>
            </w:r>
          </w:p>
        </w:tc>
        <w:tc>
          <w:tcPr>
            <w:tcW w:w="700" w:type="dxa"/>
            <w:tcMar>
              <w:top w:w="0" w:type="dxa"/>
              <w:bottom w:w="0" w:type="dxa"/>
            </w:tcMar>
            <w:vAlign w:val="center"/>
          </w:tcPr>
          <w:p w14:paraId="53D115A4" w14:textId="77777777" w:rsidR="003E20DF" w:rsidRDefault="00F01A5C">
            <w:pPr>
              <w:keepNext/>
              <w:keepLines/>
              <w:spacing w:after="0" w:line="240" w:lineRule="auto"/>
              <w:jc w:val="right"/>
            </w:pPr>
            <w:r>
              <w:rPr>
                <w:sz w:val="18"/>
              </w:rPr>
              <w:t>118,4</w:t>
            </w:r>
          </w:p>
        </w:tc>
      </w:tr>
    </w:tbl>
    <w:p w14:paraId="5D1DAA13" w14:textId="77777777" w:rsidR="003E20DF" w:rsidRDefault="003E20DF">
      <w:pPr>
        <w:spacing w:after="0"/>
      </w:pPr>
    </w:p>
    <w:p w14:paraId="56128C6B" w14:textId="77777777" w:rsidR="003E20DF" w:rsidRDefault="00F01A5C" w:rsidP="00882057">
      <w:pPr>
        <w:ind w:firstLine="708"/>
        <w:jc w:val="both"/>
      </w:pPr>
      <w:r>
        <w:t>Vlastiti izvori veći su za 76.123.809,05 eura. Navedene promjene bilančnih pozicija koje nisu rezultat financijskih transakcija razvidne su iz obrasca P-VRIO i detaljnije obrazložene u bilješkama uz obrazac P-VRIO. </w:t>
      </w:r>
    </w:p>
    <w:p w14:paraId="20A1C5D5" w14:textId="77777777" w:rsidR="003E20DF" w:rsidRDefault="00F01A5C" w:rsidP="00882057">
      <w:pPr>
        <w:ind w:firstLine="708"/>
        <w:jc w:val="both"/>
      </w:pPr>
      <w:r>
        <w:t>Odlukom o raspodjeli rezultata usvojenom od strane Gradskog vijeća Grada Osijeka pri usvajanju Godišnjeg obračuna proračuna Grada Osijeka za 2025., ostvareni višak prihoda i primitaka korišten je za pokriće ostvarenih manjkova od nefinancijske imovine.</w:t>
      </w:r>
    </w:p>
    <w:p w14:paraId="792F3180" w14:textId="77777777" w:rsidR="003E20DF" w:rsidRDefault="00F01A5C" w:rsidP="00882057">
      <w:pPr>
        <w:ind w:firstLine="708"/>
        <w:jc w:val="both"/>
      </w:pPr>
      <w:r>
        <w:t>Preneseni višak prihoda i primitaka nad rashodima i izdacima iz 2024. iznosio je 22.926.651,34 eura. U 2025. izvršena je korekcija istog za 12.611,56 eura. Ostvareni manjak u 2025. iznosi 10.938.837,81 eura, što čini ukupni višak prihoda i primitaka nad rashodima i izdacima u iznosu 12.000.425,09 eura.</w:t>
      </w:r>
    </w:p>
    <w:p w14:paraId="228AF363" w14:textId="77777777" w:rsidR="003E20DF" w:rsidRDefault="00F01A5C" w:rsidP="00236FC9">
      <w:pPr>
        <w:jc w:val="both"/>
      </w:pPr>
      <w:r>
        <w:t>Ostvareni viškovi/manjkovi korigirani su sukladno uputama Ministarstva financija.</w:t>
      </w:r>
    </w:p>
    <w:p w14:paraId="47A7E86B" w14:textId="77777777" w:rsidR="003E20DF" w:rsidRDefault="00F01A5C" w:rsidP="00882057">
      <w:pPr>
        <w:ind w:firstLine="708"/>
        <w:jc w:val="both"/>
      </w:pPr>
      <w:r>
        <w:t>Ostvareni rezultat poslovanja suštinski je rezultat utroška prenesenog viška poslovanja iz ranijih godina. Tako je višak prihoda poslovanja od prodaje zemljišta u poslovnoj zoni Nemetin usmjeren na kupovinu poslovnog objekta u najužem centru Grada, s ciljem  buduće izgradnje funkcionalnog, modernog naselja na tom području. Grad Osijek nije se dugoročno zaduživao za kapitalne investicije od 2022. godine, namijenivši dio prenesenih viškova iz ranijih godina za financiranje tekućih kapitalnih rashoda. U 2025. financirana je dokapitalizacija trgovačkog društva GPP d.o.o. Osijek u iznosu 2.000.000,00 eura, kako bi se osigurala financijska sredstva za organizaciju preuzete funkcije parkiranja u Osijeku i stvaranje visoko digitaliziranog i funkcionalnog sustava. Za danu kapitalnu pomoć društvu GPP d.o.o. Osijek za predfinanciranje troškova provedbe projekta Modernizacije tramvajske infrastrukture očekuje se povrat u 2026., nakon odobrenja završnog zahtjeva za nadoknadu sredstava od strane nadležnog tijela. Izmjena metodologije evidentiranja danih predujmova za bespovratna sredstva Europske unije, te evidentiranja prihoda s ove osnove po odobrenju zahtjeva za nadoknadom sredstava, dodatno je utjecalo na visinu ostvarenih prihoda u 2025. Iz navedenog je vidljivo da je poslovanje Grada usmjereno na maksimalno korištenje dostupnih bespovratnih sredstava, minimalno zaduživanje i ekonomično i učinkovito korištenje vlastitih resursa, uz visoku likvidnost i uredno izvršavanje obveza.</w:t>
      </w:r>
    </w:p>
    <w:p w14:paraId="0F8C2757" w14:textId="77777777" w:rsidR="003E20DF" w:rsidRDefault="003E20DF"/>
    <w:p w14:paraId="0ECDFF9D" w14:textId="77777777" w:rsidR="003E20DF" w:rsidRDefault="00F01A5C">
      <w:pPr>
        <w:keepNext/>
        <w:spacing w:line="240" w:lineRule="auto"/>
        <w:jc w:val="center"/>
      </w:pPr>
      <w:r>
        <w:rPr>
          <w:sz w:val="28"/>
        </w:rPr>
        <w:lastRenderedPageBreak/>
        <w:t>Bilješka 86.</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20DF" w14:paraId="142CCBFC" w14:textId="77777777">
        <w:trPr>
          <w:cantSplit/>
        </w:trPr>
        <w:tc>
          <w:tcPr>
            <w:tcW w:w="700" w:type="dxa"/>
            <w:shd w:val="clear" w:color="auto" w:fill="E7F0F9"/>
            <w:tcMar>
              <w:top w:w="0" w:type="dxa"/>
              <w:bottom w:w="0" w:type="dxa"/>
            </w:tcMar>
            <w:vAlign w:val="center"/>
          </w:tcPr>
          <w:p w14:paraId="0FD3D6B2" w14:textId="77777777" w:rsidR="003E20DF" w:rsidRDefault="00F01A5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CE02808" w14:textId="77777777" w:rsidR="003E20DF" w:rsidRDefault="00F01A5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E6C8BAE" w14:textId="77777777" w:rsidR="003E20DF" w:rsidRDefault="00F01A5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53764B5" w14:textId="77777777" w:rsidR="003E20DF" w:rsidRDefault="00F01A5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91F4D12" w14:textId="77777777" w:rsidR="003E20DF" w:rsidRDefault="00F01A5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0DC72CC" w14:textId="77777777" w:rsidR="003E20DF" w:rsidRDefault="00F01A5C">
            <w:pPr>
              <w:keepNext/>
              <w:keepLines/>
              <w:spacing w:after="0" w:line="240" w:lineRule="auto"/>
              <w:jc w:val="center"/>
            </w:pPr>
            <w:r>
              <w:rPr>
                <w:b/>
                <w:sz w:val="18"/>
              </w:rPr>
              <w:t>Indeks (%)</w:t>
            </w:r>
          </w:p>
        </w:tc>
      </w:tr>
      <w:tr w:rsidR="003E20DF" w14:paraId="3CFEE091" w14:textId="77777777">
        <w:trPr>
          <w:cantSplit/>
          <w:trHeight w:val="560"/>
        </w:trPr>
        <w:tc>
          <w:tcPr>
            <w:tcW w:w="700" w:type="dxa"/>
            <w:tcMar>
              <w:top w:w="0" w:type="dxa"/>
              <w:bottom w:w="0" w:type="dxa"/>
            </w:tcMar>
            <w:vAlign w:val="center"/>
          </w:tcPr>
          <w:p w14:paraId="159A4E27" w14:textId="77777777" w:rsidR="003E20DF" w:rsidRDefault="00F01A5C">
            <w:pPr>
              <w:keepNext/>
              <w:keepLines/>
              <w:spacing w:after="0" w:line="240" w:lineRule="auto"/>
            </w:pPr>
            <w:r>
              <w:rPr>
                <w:sz w:val="18"/>
              </w:rPr>
              <w:t>991</w:t>
            </w:r>
          </w:p>
        </w:tc>
        <w:tc>
          <w:tcPr>
            <w:tcW w:w="3180" w:type="dxa"/>
            <w:tcMar>
              <w:top w:w="0" w:type="dxa"/>
              <w:bottom w:w="0" w:type="dxa"/>
            </w:tcMar>
            <w:vAlign w:val="center"/>
          </w:tcPr>
          <w:p w14:paraId="5BB4EC35" w14:textId="77777777" w:rsidR="003E20DF" w:rsidRDefault="00F01A5C">
            <w:pPr>
              <w:keepNext/>
              <w:keepLines/>
              <w:spacing w:after="0" w:line="240" w:lineRule="auto"/>
            </w:pPr>
            <w:r>
              <w:rPr>
                <w:sz w:val="18"/>
              </w:rPr>
              <w:t>Izvanbilančni zapisi - aktiva (šifra 996)</w:t>
            </w:r>
          </w:p>
        </w:tc>
        <w:tc>
          <w:tcPr>
            <w:tcW w:w="700" w:type="dxa"/>
            <w:tcMar>
              <w:top w:w="0" w:type="dxa"/>
              <w:bottom w:w="0" w:type="dxa"/>
            </w:tcMar>
            <w:vAlign w:val="center"/>
          </w:tcPr>
          <w:p w14:paraId="46D69661" w14:textId="77777777" w:rsidR="003E20DF" w:rsidRDefault="00F01A5C">
            <w:pPr>
              <w:keepNext/>
              <w:keepLines/>
              <w:spacing w:after="0" w:line="240" w:lineRule="auto"/>
            </w:pPr>
            <w:r>
              <w:rPr>
                <w:sz w:val="18"/>
              </w:rPr>
              <w:t>991</w:t>
            </w:r>
          </w:p>
        </w:tc>
        <w:tc>
          <w:tcPr>
            <w:tcW w:w="1860" w:type="dxa"/>
            <w:tcMar>
              <w:top w:w="0" w:type="dxa"/>
              <w:bottom w:w="0" w:type="dxa"/>
            </w:tcMar>
            <w:vAlign w:val="center"/>
          </w:tcPr>
          <w:p w14:paraId="3153DB02" w14:textId="77777777" w:rsidR="003E20DF" w:rsidRDefault="00F01A5C">
            <w:pPr>
              <w:keepNext/>
              <w:keepLines/>
              <w:spacing w:after="0" w:line="240" w:lineRule="auto"/>
              <w:jc w:val="right"/>
            </w:pPr>
            <w:r>
              <w:rPr>
                <w:sz w:val="18"/>
              </w:rPr>
              <w:t>54.247.025,33</w:t>
            </w:r>
          </w:p>
        </w:tc>
        <w:tc>
          <w:tcPr>
            <w:tcW w:w="1860" w:type="dxa"/>
            <w:tcMar>
              <w:top w:w="0" w:type="dxa"/>
              <w:bottom w:w="0" w:type="dxa"/>
            </w:tcMar>
            <w:vAlign w:val="center"/>
          </w:tcPr>
          <w:p w14:paraId="7905B869" w14:textId="77777777" w:rsidR="003E20DF" w:rsidRDefault="00F01A5C">
            <w:pPr>
              <w:keepNext/>
              <w:keepLines/>
              <w:spacing w:after="0" w:line="240" w:lineRule="auto"/>
              <w:jc w:val="right"/>
            </w:pPr>
            <w:r>
              <w:rPr>
                <w:sz w:val="18"/>
              </w:rPr>
              <w:t>63.846.291,53</w:t>
            </w:r>
          </w:p>
        </w:tc>
        <w:tc>
          <w:tcPr>
            <w:tcW w:w="700" w:type="dxa"/>
            <w:tcMar>
              <w:top w:w="0" w:type="dxa"/>
              <w:bottom w:w="0" w:type="dxa"/>
            </w:tcMar>
            <w:vAlign w:val="center"/>
          </w:tcPr>
          <w:p w14:paraId="6B80886E" w14:textId="77777777" w:rsidR="003E20DF" w:rsidRDefault="00F01A5C">
            <w:pPr>
              <w:keepNext/>
              <w:keepLines/>
              <w:spacing w:after="0" w:line="240" w:lineRule="auto"/>
              <w:jc w:val="right"/>
            </w:pPr>
            <w:r>
              <w:rPr>
                <w:sz w:val="18"/>
              </w:rPr>
              <w:t>117,7</w:t>
            </w:r>
          </w:p>
        </w:tc>
      </w:tr>
    </w:tbl>
    <w:p w14:paraId="18F9F737" w14:textId="77777777" w:rsidR="003E20DF" w:rsidRDefault="003E20DF">
      <w:pPr>
        <w:spacing w:after="0"/>
      </w:pPr>
    </w:p>
    <w:p w14:paraId="488DB8F8" w14:textId="77777777" w:rsidR="003E20DF" w:rsidRDefault="00F01A5C" w:rsidP="00882057">
      <w:pPr>
        <w:ind w:firstLine="708"/>
        <w:jc w:val="both"/>
      </w:pPr>
      <w:r>
        <w:t>U okviru iskazanih izvanbilančnih zapisa nalaze se dana jamstava i suglasnosti za dugoročno zaduživanje trgovačkih društava i ustanova u većinskom vlasništvu Grada Osijeka, korištenje tuđe imovine (oprema iz robnih rezervi RH), sudski sporovi, primljeni i dani instrumenti osiguranja plaćanja i dr.</w:t>
      </w:r>
    </w:p>
    <w:p w14:paraId="7FFDE093" w14:textId="77777777" w:rsidR="003E20DF" w:rsidRDefault="003E20DF"/>
    <w:p w14:paraId="499D697A" w14:textId="77777777" w:rsidR="003E20DF" w:rsidRDefault="00F01A5C">
      <w:pPr>
        <w:keepNext/>
        <w:spacing w:line="240" w:lineRule="auto"/>
        <w:jc w:val="center"/>
      </w:pPr>
      <w:r>
        <w:rPr>
          <w:sz w:val="28"/>
        </w:rPr>
        <w:t>Bilješka 87.</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20DF" w14:paraId="6F26B579" w14:textId="77777777">
        <w:trPr>
          <w:cantSplit/>
        </w:trPr>
        <w:tc>
          <w:tcPr>
            <w:tcW w:w="700" w:type="dxa"/>
            <w:shd w:val="clear" w:color="auto" w:fill="E7F0F9"/>
            <w:tcMar>
              <w:top w:w="0" w:type="dxa"/>
              <w:bottom w:w="0" w:type="dxa"/>
            </w:tcMar>
            <w:vAlign w:val="center"/>
          </w:tcPr>
          <w:p w14:paraId="36E453C0" w14:textId="77777777" w:rsidR="003E20DF" w:rsidRDefault="00F01A5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06DABD6" w14:textId="77777777" w:rsidR="003E20DF" w:rsidRDefault="00F01A5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A662EB3" w14:textId="77777777" w:rsidR="003E20DF" w:rsidRDefault="00F01A5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D1A498A" w14:textId="77777777" w:rsidR="003E20DF" w:rsidRDefault="00F01A5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4841C08" w14:textId="77777777" w:rsidR="003E20DF" w:rsidRDefault="00F01A5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B344423" w14:textId="77777777" w:rsidR="003E20DF" w:rsidRDefault="00F01A5C">
            <w:pPr>
              <w:keepNext/>
              <w:keepLines/>
              <w:spacing w:after="0" w:line="240" w:lineRule="auto"/>
              <w:jc w:val="center"/>
            </w:pPr>
            <w:r>
              <w:rPr>
                <w:b/>
                <w:sz w:val="18"/>
              </w:rPr>
              <w:t>Indeks (%)</w:t>
            </w:r>
          </w:p>
        </w:tc>
      </w:tr>
      <w:tr w:rsidR="003E20DF" w14:paraId="3EC7E0F5" w14:textId="77777777">
        <w:trPr>
          <w:cantSplit/>
          <w:trHeight w:val="560"/>
        </w:trPr>
        <w:tc>
          <w:tcPr>
            <w:tcW w:w="700" w:type="dxa"/>
            <w:tcMar>
              <w:top w:w="0" w:type="dxa"/>
              <w:bottom w:w="0" w:type="dxa"/>
            </w:tcMar>
            <w:vAlign w:val="center"/>
          </w:tcPr>
          <w:p w14:paraId="3B0CDD17" w14:textId="77777777" w:rsidR="003E20DF" w:rsidRDefault="00F01A5C">
            <w:pPr>
              <w:keepNext/>
              <w:keepLines/>
              <w:spacing w:after="0" w:line="240" w:lineRule="auto"/>
            </w:pPr>
            <w:r>
              <w:rPr>
                <w:sz w:val="18"/>
              </w:rPr>
              <w:t>996</w:t>
            </w:r>
          </w:p>
        </w:tc>
        <w:tc>
          <w:tcPr>
            <w:tcW w:w="3180" w:type="dxa"/>
            <w:tcMar>
              <w:top w:w="0" w:type="dxa"/>
              <w:bottom w:w="0" w:type="dxa"/>
            </w:tcMar>
            <w:vAlign w:val="center"/>
          </w:tcPr>
          <w:p w14:paraId="778A9830" w14:textId="77777777" w:rsidR="003E20DF" w:rsidRDefault="00F01A5C">
            <w:pPr>
              <w:keepNext/>
              <w:keepLines/>
              <w:spacing w:after="0" w:line="240" w:lineRule="auto"/>
            </w:pPr>
            <w:r>
              <w:rPr>
                <w:sz w:val="18"/>
              </w:rPr>
              <w:t>Izvanbilančni zapisi - pasiva</w:t>
            </w:r>
          </w:p>
        </w:tc>
        <w:tc>
          <w:tcPr>
            <w:tcW w:w="700" w:type="dxa"/>
            <w:tcMar>
              <w:top w:w="0" w:type="dxa"/>
              <w:bottom w:w="0" w:type="dxa"/>
            </w:tcMar>
            <w:vAlign w:val="center"/>
          </w:tcPr>
          <w:p w14:paraId="1AFD6BAA" w14:textId="77777777" w:rsidR="003E20DF" w:rsidRDefault="00F01A5C">
            <w:pPr>
              <w:keepNext/>
              <w:keepLines/>
              <w:spacing w:after="0" w:line="240" w:lineRule="auto"/>
            </w:pPr>
            <w:r>
              <w:rPr>
                <w:sz w:val="18"/>
              </w:rPr>
              <w:t>996</w:t>
            </w:r>
          </w:p>
        </w:tc>
        <w:tc>
          <w:tcPr>
            <w:tcW w:w="1860" w:type="dxa"/>
            <w:tcMar>
              <w:top w:w="0" w:type="dxa"/>
              <w:bottom w:w="0" w:type="dxa"/>
            </w:tcMar>
            <w:vAlign w:val="center"/>
          </w:tcPr>
          <w:p w14:paraId="071826E9" w14:textId="77777777" w:rsidR="003E20DF" w:rsidRDefault="00F01A5C">
            <w:pPr>
              <w:keepNext/>
              <w:keepLines/>
              <w:spacing w:after="0" w:line="240" w:lineRule="auto"/>
              <w:jc w:val="right"/>
            </w:pPr>
            <w:r>
              <w:rPr>
                <w:sz w:val="18"/>
              </w:rPr>
              <w:t>54.247.025,33</w:t>
            </w:r>
          </w:p>
        </w:tc>
        <w:tc>
          <w:tcPr>
            <w:tcW w:w="1860" w:type="dxa"/>
            <w:tcMar>
              <w:top w:w="0" w:type="dxa"/>
              <w:bottom w:w="0" w:type="dxa"/>
            </w:tcMar>
            <w:vAlign w:val="center"/>
          </w:tcPr>
          <w:p w14:paraId="44997D6E" w14:textId="77777777" w:rsidR="003E20DF" w:rsidRDefault="00F01A5C">
            <w:pPr>
              <w:keepNext/>
              <w:keepLines/>
              <w:spacing w:after="0" w:line="240" w:lineRule="auto"/>
              <w:jc w:val="right"/>
            </w:pPr>
            <w:r>
              <w:rPr>
                <w:sz w:val="18"/>
              </w:rPr>
              <w:t>63.846.291,53</w:t>
            </w:r>
          </w:p>
        </w:tc>
        <w:tc>
          <w:tcPr>
            <w:tcW w:w="700" w:type="dxa"/>
            <w:tcMar>
              <w:top w:w="0" w:type="dxa"/>
              <w:bottom w:w="0" w:type="dxa"/>
            </w:tcMar>
            <w:vAlign w:val="center"/>
          </w:tcPr>
          <w:p w14:paraId="4F6DB50F" w14:textId="77777777" w:rsidR="003E20DF" w:rsidRDefault="00F01A5C">
            <w:pPr>
              <w:keepNext/>
              <w:keepLines/>
              <w:spacing w:after="0" w:line="240" w:lineRule="auto"/>
              <w:jc w:val="right"/>
            </w:pPr>
            <w:r>
              <w:rPr>
                <w:sz w:val="18"/>
              </w:rPr>
              <w:t>117,7</w:t>
            </w:r>
          </w:p>
        </w:tc>
      </w:tr>
    </w:tbl>
    <w:p w14:paraId="150DEF0C" w14:textId="77777777" w:rsidR="003E20DF" w:rsidRDefault="003E20DF">
      <w:pPr>
        <w:spacing w:after="0"/>
      </w:pPr>
    </w:p>
    <w:p w14:paraId="5298633E" w14:textId="77777777" w:rsidR="003E20DF" w:rsidRDefault="00F01A5C" w:rsidP="00882057">
      <w:pPr>
        <w:ind w:firstLine="708"/>
        <w:jc w:val="both"/>
      </w:pPr>
      <w:r>
        <w:t>U okviru iskazanih izvanbilančnih zapisa nalaze se dana jamstava i suglasnosti za dugoročno zaduživanje trgovačkih društava i ustanova u većinskom vlasništvu Grada Osijeka, korištenje tuđe imovine (oprema iz robnih rezervi RH), sudski sporovi, primljeni i dani instrumenti osiguranja plaćanja i dr.</w:t>
      </w:r>
    </w:p>
    <w:p w14:paraId="3B243118" w14:textId="77777777" w:rsidR="003E20DF" w:rsidRDefault="003E20DF"/>
    <w:p w14:paraId="767C2AF3" w14:textId="77777777" w:rsidR="003E20DF" w:rsidRDefault="00F01A5C">
      <w:pPr>
        <w:keepNext/>
        <w:spacing w:line="240" w:lineRule="auto"/>
        <w:jc w:val="center"/>
      </w:pPr>
      <w:r>
        <w:rPr>
          <w:sz w:val="28"/>
        </w:rPr>
        <w:t>Bilješka 88.</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20DF" w14:paraId="3ECE0631" w14:textId="77777777">
        <w:trPr>
          <w:cantSplit/>
        </w:trPr>
        <w:tc>
          <w:tcPr>
            <w:tcW w:w="700" w:type="dxa"/>
            <w:shd w:val="clear" w:color="auto" w:fill="E7F0F9"/>
            <w:tcMar>
              <w:top w:w="0" w:type="dxa"/>
              <w:bottom w:w="0" w:type="dxa"/>
            </w:tcMar>
            <w:vAlign w:val="center"/>
          </w:tcPr>
          <w:p w14:paraId="1488A630" w14:textId="77777777" w:rsidR="003E20DF" w:rsidRDefault="00F01A5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95C474B" w14:textId="77777777" w:rsidR="003E20DF" w:rsidRDefault="00F01A5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427E981" w14:textId="77777777" w:rsidR="003E20DF" w:rsidRDefault="00F01A5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A35CADC" w14:textId="77777777" w:rsidR="003E20DF" w:rsidRDefault="00F01A5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CB44154" w14:textId="77777777" w:rsidR="003E20DF" w:rsidRDefault="00F01A5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A3ADA1A" w14:textId="77777777" w:rsidR="003E20DF" w:rsidRDefault="00F01A5C">
            <w:pPr>
              <w:keepNext/>
              <w:keepLines/>
              <w:spacing w:after="0" w:line="240" w:lineRule="auto"/>
              <w:jc w:val="center"/>
            </w:pPr>
            <w:r>
              <w:rPr>
                <w:b/>
                <w:sz w:val="18"/>
              </w:rPr>
              <w:t>Indeks (%)</w:t>
            </w:r>
          </w:p>
        </w:tc>
      </w:tr>
      <w:tr w:rsidR="003E20DF" w14:paraId="20A56446" w14:textId="77777777">
        <w:trPr>
          <w:cantSplit/>
          <w:trHeight w:val="560"/>
        </w:trPr>
        <w:tc>
          <w:tcPr>
            <w:tcW w:w="700" w:type="dxa"/>
            <w:tcMar>
              <w:top w:w="0" w:type="dxa"/>
              <w:bottom w:w="0" w:type="dxa"/>
            </w:tcMar>
            <w:vAlign w:val="center"/>
          </w:tcPr>
          <w:p w14:paraId="00D04B43" w14:textId="77777777" w:rsidR="003E20DF" w:rsidRDefault="00F01A5C">
            <w:pPr>
              <w:keepNext/>
              <w:keepLines/>
              <w:spacing w:after="0" w:line="240" w:lineRule="auto"/>
            </w:pPr>
            <w:r>
              <w:rPr>
                <w:sz w:val="18"/>
              </w:rPr>
              <w:t>99611</w:t>
            </w:r>
          </w:p>
        </w:tc>
        <w:tc>
          <w:tcPr>
            <w:tcW w:w="3180" w:type="dxa"/>
            <w:tcMar>
              <w:top w:w="0" w:type="dxa"/>
              <w:bottom w:w="0" w:type="dxa"/>
            </w:tcMar>
            <w:vAlign w:val="center"/>
          </w:tcPr>
          <w:p w14:paraId="51E40B6D" w14:textId="77777777" w:rsidR="003E20DF" w:rsidRDefault="00F01A5C">
            <w:pPr>
              <w:keepNext/>
              <w:keepLines/>
              <w:spacing w:after="0" w:line="240" w:lineRule="auto"/>
            </w:pPr>
            <w:r>
              <w:rPr>
                <w:sz w:val="18"/>
              </w:rPr>
              <w:t>Tuđa imovina dobivena na korištenje</w:t>
            </w:r>
          </w:p>
        </w:tc>
        <w:tc>
          <w:tcPr>
            <w:tcW w:w="700" w:type="dxa"/>
            <w:tcMar>
              <w:top w:w="0" w:type="dxa"/>
              <w:bottom w:w="0" w:type="dxa"/>
            </w:tcMar>
            <w:vAlign w:val="center"/>
          </w:tcPr>
          <w:p w14:paraId="34973662" w14:textId="77777777" w:rsidR="003E20DF" w:rsidRDefault="00F01A5C">
            <w:pPr>
              <w:keepNext/>
              <w:keepLines/>
              <w:spacing w:after="0" w:line="240" w:lineRule="auto"/>
            </w:pPr>
            <w:r>
              <w:rPr>
                <w:sz w:val="18"/>
              </w:rPr>
              <w:t>99611</w:t>
            </w:r>
          </w:p>
        </w:tc>
        <w:tc>
          <w:tcPr>
            <w:tcW w:w="1860" w:type="dxa"/>
            <w:tcMar>
              <w:top w:w="0" w:type="dxa"/>
              <w:bottom w:w="0" w:type="dxa"/>
            </w:tcMar>
            <w:vAlign w:val="center"/>
          </w:tcPr>
          <w:p w14:paraId="280E0E1E" w14:textId="77777777" w:rsidR="003E20DF" w:rsidRDefault="00F01A5C">
            <w:pPr>
              <w:keepNext/>
              <w:keepLines/>
              <w:spacing w:after="0" w:line="240" w:lineRule="auto"/>
              <w:jc w:val="right"/>
            </w:pPr>
            <w:r>
              <w:rPr>
                <w:sz w:val="18"/>
              </w:rPr>
              <w:t>1,06</w:t>
            </w:r>
          </w:p>
        </w:tc>
        <w:tc>
          <w:tcPr>
            <w:tcW w:w="1860" w:type="dxa"/>
            <w:tcMar>
              <w:top w:w="0" w:type="dxa"/>
              <w:bottom w:w="0" w:type="dxa"/>
            </w:tcMar>
            <w:vAlign w:val="center"/>
          </w:tcPr>
          <w:p w14:paraId="3E40576F" w14:textId="77777777" w:rsidR="003E20DF" w:rsidRDefault="00F01A5C">
            <w:pPr>
              <w:keepNext/>
              <w:keepLines/>
              <w:spacing w:after="0" w:line="240" w:lineRule="auto"/>
              <w:jc w:val="right"/>
            </w:pPr>
            <w:r>
              <w:rPr>
                <w:sz w:val="18"/>
              </w:rPr>
              <w:t>2.406.001,06</w:t>
            </w:r>
          </w:p>
        </w:tc>
        <w:tc>
          <w:tcPr>
            <w:tcW w:w="700" w:type="dxa"/>
            <w:tcMar>
              <w:top w:w="0" w:type="dxa"/>
              <w:bottom w:w="0" w:type="dxa"/>
            </w:tcMar>
            <w:vAlign w:val="center"/>
          </w:tcPr>
          <w:p w14:paraId="4567228D" w14:textId="77777777" w:rsidR="003E20DF" w:rsidRDefault="00F01A5C">
            <w:pPr>
              <w:keepNext/>
              <w:keepLines/>
              <w:spacing w:after="0" w:line="240" w:lineRule="auto"/>
              <w:jc w:val="right"/>
            </w:pPr>
            <w:r>
              <w:rPr>
                <w:sz w:val="18"/>
              </w:rPr>
              <w:t>&gt;&gt;100</w:t>
            </w:r>
          </w:p>
        </w:tc>
      </w:tr>
    </w:tbl>
    <w:p w14:paraId="04049E3C" w14:textId="77777777" w:rsidR="003E20DF" w:rsidRDefault="003E20DF">
      <w:pPr>
        <w:spacing w:after="0"/>
      </w:pPr>
    </w:p>
    <w:p w14:paraId="40371E3E" w14:textId="77777777" w:rsidR="003E20DF" w:rsidRDefault="00F01A5C" w:rsidP="00882057">
      <w:pPr>
        <w:ind w:firstLine="708"/>
        <w:jc w:val="both"/>
      </w:pPr>
      <w:r>
        <w:t>Evidentirana imovina manjim dijelom se odnosi na robne rezerve, dok je najveći dio vezan za stanove kojima upravlja Grad Osijek, a imovina su Republike Hrvatske.</w:t>
      </w:r>
    </w:p>
    <w:p w14:paraId="1D8FFE14" w14:textId="77777777" w:rsidR="003E20DF" w:rsidRDefault="003E20DF"/>
    <w:p w14:paraId="59E70B6F" w14:textId="77777777" w:rsidR="000D2576" w:rsidRDefault="000D2576">
      <w:pPr>
        <w:keepNext/>
        <w:spacing w:line="240" w:lineRule="auto"/>
        <w:jc w:val="center"/>
        <w:rPr>
          <w:sz w:val="28"/>
        </w:rPr>
      </w:pPr>
    </w:p>
    <w:p w14:paraId="45ADE24C" w14:textId="77777777" w:rsidR="000D2576" w:rsidRDefault="000D2576">
      <w:pPr>
        <w:keepNext/>
        <w:spacing w:line="240" w:lineRule="auto"/>
        <w:jc w:val="center"/>
        <w:rPr>
          <w:sz w:val="28"/>
        </w:rPr>
      </w:pPr>
    </w:p>
    <w:p w14:paraId="3812F8AB" w14:textId="29D0ADF2" w:rsidR="003E20DF" w:rsidRDefault="00F01A5C">
      <w:pPr>
        <w:keepNext/>
        <w:spacing w:line="240" w:lineRule="auto"/>
        <w:jc w:val="center"/>
      </w:pPr>
      <w:r>
        <w:rPr>
          <w:sz w:val="28"/>
        </w:rPr>
        <w:t>Bilješka 89.</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20DF" w14:paraId="50318A11" w14:textId="77777777">
        <w:trPr>
          <w:cantSplit/>
        </w:trPr>
        <w:tc>
          <w:tcPr>
            <w:tcW w:w="700" w:type="dxa"/>
            <w:shd w:val="clear" w:color="auto" w:fill="E7F0F9"/>
            <w:tcMar>
              <w:top w:w="0" w:type="dxa"/>
              <w:bottom w:w="0" w:type="dxa"/>
            </w:tcMar>
            <w:vAlign w:val="center"/>
          </w:tcPr>
          <w:p w14:paraId="4ADA82D3" w14:textId="77777777" w:rsidR="003E20DF" w:rsidRDefault="00F01A5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BD9B62A" w14:textId="77777777" w:rsidR="003E20DF" w:rsidRDefault="00F01A5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A2E371C" w14:textId="77777777" w:rsidR="003E20DF" w:rsidRDefault="00F01A5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A04FC72" w14:textId="77777777" w:rsidR="003E20DF" w:rsidRDefault="00F01A5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C5581FF" w14:textId="77777777" w:rsidR="003E20DF" w:rsidRDefault="00F01A5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768F2A6" w14:textId="77777777" w:rsidR="003E20DF" w:rsidRDefault="00F01A5C">
            <w:pPr>
              <w:keepNext/>
              <w:keepLines/>
              <w:spacing w:after="0" w:line="240" w:lineRule="auto"/>
              <w:jc w:val="center"/>
            </w:pPr>
            <w:r>
              <w:rPr>
                <w:b/>
                <w:sz w:val="18"/>
              </w:rPr>
              <w:t>Indeks (%)</w:t>
            </w:r>
          </w:p>
        </w:tc>
      </w:tr>
      <w:tr w:rsidR="003E20DF" w14:paraId="35DAFE34" w14:textId="77777777">
        <w:trPr>
          <w:cantSplit/>
          <w:trHeight w:val="560"/>
        </w:trPr>
        <w:tc>
          <w:tcPr>
            <w:tcW w:w="700" w:type="dxa"/>
            <w:tcMar>
              <w:top w:w="0" w:type="dxa"/>
              <w:bottom w:w="0" w:type="dxa"/>
            </w:tcMar>
            <w:vAlign w:val="center"/>
          </w:tcPr>
          <w:p w14:paraId="178A9E1F" w14:textId="77777777" w:rsidR="003E20DF" w:rsidRDefault="00F01A5C">
            <w:pPr>
              <w:keepNext/>
              <w:keepLines/>
              <w:spacing w:after="0" w:line="240" w:lineRule="auto"/>
            </w:pPr>
            <w:r>
              <w:rPr>
                <w:sz w:val="18"/>
              </w:rPr>
              <w:t>99621</w:t>
            </w:r>
          </w:p>
        </w:tc>
        <w:tc>
          <w:tcPr>
            <w:tcW w:w="3180" w:type="dxa"/>
            <w:tcMar>
              <w:top w:w="0" w:type="dxa"/>
              <w:bottom w:w="0" w:type="dxa"/>
            </w:tcMar>
            <w:vAlign w:val="center"/>
          </w:tcPr>
          <w:p w14:paraId="3BE0CCF9" w14:textId="77777777" w:rsidR="003E20DF" w:rsidRDefault="00F01A5C">
            <w:pPr>
              <w:keepNext/>
              <w:keepLines/>
              <w:spacing w:after="0" w:line="240" w:lineRule="auto"/>
            </w:pPr>
            <w:r>
              <w:rPr>
                <w:sz w:val="18"/>
              </w:rPr>
              <w:t>Potencijalne obveze po danim jamstvima</w:t>
            </w:r>
          </w:p>
        </w:tc>
        <w:tc>
          <w:tcPr>
            <w:tcW w:w="700" w:type="dxa"/>
            <w:tcMar>
              <w:top w:w="0" w:type="dxa"/>
              <w:bottom w:w="0" w:type="dxa"/>
            </w:tcMar>
            <w:vAlign w:val="center"/>
          </w:tcPr>
          <w:p w14:paraId="3A2451C3" w14:textId="77777777" w:rsidR="003E20DF" w:rsidRDefault="00F01A5C">
            <w:pPr>
              <w:keepNext/>
              <w:keepLines/>
              <w:spacing w:after="0" w:line="240" w:lineRule="auto"/>
            </w:pPr>
            <w:r>
              <w:rPr>
                <w:sz w:val="18"/>
              </w:rPr>
              <w:t>99621</w:t>
            </w:r>
          </w:p>
        </w:tc>
        <w:tc>
          <w:tcPr>
            <w:tcW w:w="1860" w:type="dxa"/>
            <w:tcMar>
              <w:top w:w="0" w:type="dxa"/>
              <w:bottom w:w="0" w:type="dxa"/>
            </w:tcMar>
            <w:vAlign w:val="center"/>
          </w:tcPr>
          <w:p w14:paraId="1E616F7F" w14:textId="77777777" w:rsidR="003E20DF" w:rsidRDefault="00F01A5C">
            <w:pPr>
              <w:keepNext/>
              <w:keepLines/>
              <w:spacing w:after="0" w:line="240" w:lineRule="auto"/>
              <w:jc w:val="right"/>
            </w:pPr>
            <w:r>
              <w:rPr>
                <w:sz w:val="18"/>
              </w:rPr>
              <w:t>11.339.819,35</w:t>
            </w:r>
          </w:p>
        </w:tc>
        <w:tc>
          <w:tcPr>
            <w:tcW w:w="1860" w:type="dxa"/>
            <w:tcMar>
              <w:top w:w="0" w:type="dxa"/>
              <w:bottom w:w="0" w:type="dxa"/>
            </w:tcMar>
            <w:vAlign w:val="center"/>
          </w:tcPr>
          <w:p w14:paraId="1AFF23D2" w14:textId="77777777" w:rsidR="003E20DF" w:rsidRDefault="00F01A5C">
            <w:pPr>
              <w:keepNext/>
              <w:keepLines/>
              <w:spacing w:after="0" w:line="240" w:lineRule="auto"/>
              <w:jc w:val="right"/>
            </w:pPr>
            <w:r>
              <w:rPr>
                <w:sz w:val="18"/>
              </w:rPr>
              <w:t>11.411.269,59</w:t>
            </w:r>
          </w:p>
        </w:tc>
        <w:tc>
          <w:tcPr>
            <w:tcW w:w="700" w:type="dxa"/>
            <w:tcMar>
              <w:top w:w="0" w:type="dxa"/>
              <w:bottom w:w="0" w:type="dxa"/>
            </w:tcMar>
            <w:vAlign w:val="center"/>
          </w:tcPr>
          <w:p w14:paraId="490DEA1C" w14:textId="77777777" w:rsidR="003E20DF" w:rsidRDefault="00F01A5C">
            <w:pPr>
              <w:keepNext/>
              <w:keepLines/>
              <w:spacing w:after="0" w:line="240" w:lineRule="auto"/>
              <w:jc w:val="right"/>
            </w:pPr>
            <w:r>
              <w:rPr>
                <w:sz w:val="18"/>
              </w:rPr>
              <w:t>100,6</w:t>
            </w:r>
          </w:p>
        </w:tc>
      </w:tr>
    </w:tbl>
    <w:p w14:paraId="2D56D60D" w14:textId="77777777" w:rsidR="003E20DF" w:rsidRDefault="003E20DF">
      <w:pPr>
        <w:spacing w:after="0"/>
      </w:pPr>
    </w:p>
    <w:p w14:paraId="775E7D4C" w14:textId="77777777" w:rsidR="003E20DF" w:rsidRDefault="00F01A5C" w:rsidP="00236FC9">
      <w:pPr>
        <w:jc w:val="both"/>
      </w:pPr>
      <w:r>
        <w:t>Stanje danih jamstava i suglasnosti Grada Osijeka na dan 31.12.2025. iznosi 11.411.269,59 eura. Dana jamstva su 6.106.493,71 eura i odnose se na sljedeća trgovačka društva i ustanove:</w:t>
      </w:r>
    </w:p>
    <w:p w14:paraId="7EF9BEDF" w14:textId="77777777" w:rsidR="003E20DF" w:rsidRDefault="00F01A5C">
      <w:r>
        <w:t>GPP d.o.o. Osijek                                 1.765.442,08 eura</w:t>
      </w:r>
    </w:p>
    <w:p w14:paraId="4E1C715D" w14:textId="77777777" w:rsidR="003E20DF" w:rsidRDefault="00F01A5C">
      <w:r>
        <w:t>Vodovod-Osijek d.o.o.                        4.341.051,63 eura</w:t>
      </w:r>
    </w:p>
    <w:p w14:paraId="3435DC78" w14:textId="77777777" w:rsidR="003E20DF" w:rsidRDefault="00F01A5C">
      <w:r>
        <w:t> </w:t>
      </w:r>
    </w:p>
    <w:p w14:paraId="1157BFB6" w14:textId="77777777" w:rsidR="003E20DF" w:rsidRDefault="00F01A5C" w:rsidP="00882057">
      <w:pPr>
        <w:ind w:firstLine="708"/>
        <w:jc w:val="both"/>
      </w:pPr>
      <w:r>
        <w:t>Obveze po danim suglasnostima za zaduživanje na 31.12.2025. iznose 5.304.775,88 eura. Odnose se na trgovačka društva u većinskom vlasništvu Grada Osijeka Vodovod-Osijek d.o.o., Tržnica d.o.o., Ukop d.o.o. i Unikom d.o.o. U 2025. Grad Osijek nije davao nova jamstva za zaduživanje. Dane su suglasnosti za dugoročno zaduživanje, temeljem kojih je zaključen ugovor o kreditu, za Ukop d.o.o. kod UniCreditLeasing u iznosu glavnice 45.625,00 eura i Unikom d.o.o. koji se zadužio kod HPB d.d. u iznosu do 990.000,00 eura. Dana je i suglasnost za dugoročno kreditno zaduživanje Vodovod-Osijek d.o.o. u iznosu do 6.500.000,00 eura, kredit je bio u obradi s 31.12.2025. godine, odnosno nije realiziran i kao takav nije iskazan u okviru Izvanbilančnih zapisa.</w:t>
      </w:r>
    </w:p>
    <w:p w14:paraId="6E6273F8" w14:textId="77777777" w:rsidR="003E20DF" w:rsidRDefault="003E20DF"/>
    <w:p w14:paraId="28F6DDE6" w14:textId="77777777" w:rsidR="000D2576" w:rsidRDefault="000D2576">
      <w:pPr>
        <w:keepNext/>
        <w:spacing w:line="240" w:lineRule="auto"/>
        <w:jc w:val="center"/>
        <w:rPr>
          <w:sz w:val="28"/>
        </w:rPr>
      </w:pPr>
    </w:p>
    <w:p w14:paraId="5207DC8A" w14:textId="42BF6E65" w:rsidR="003E20DF" w:rsidRDefault="00F01A5C">
      <w:pPr>
        <w:keepNext/>
        <w:spacing w:line="240" w:lineRule="auto"/>
        <w:jc w:val="center"/>
      </w:pPr>
      <w:r>
        <w:rPr>
          <w:sz w:val="28"/>
        </w:rPr>
        <w:t>Bilješka 90.</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20DF" w14:paraId="1840D141" w14:textId="77777777">
        <w:trPr>
          <w:cantSplit/>
        </w:trPr>
        <w:tc>
          <w:tcPr>
            <w:tcW w:w="700" w:type="dxa"/>
            <w:shd w:val="clear" w:color="auto" w:fill="E7F0F9"/>
            <w:tcMar>
              <w:top w:w="0" w:type="dxa"/>
              <w:bottom w:w="0" w:type="dxa"/>
            </w:tcMar>
            <w:vAlign w:val="center"/>
          </w:tcPr>
          <w:p w14:paraId="12A48642" w14:textId="77777777" w:rsidR="003E20DF" w:rsidRDefault="00F01A5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CBF4993" w14:textId="77777777" w:rsidR="003E20DF" w:rsidRDefault="00F01A5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765DB3" w14:textId="77777777" w:rsidR="003E20DF" w:rsidRDefault="00F01A5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4F578F1" w14:textId="77777777" w:rsidR="003E20DF" w:rsidRDefault="00F01A5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82D7205" w14:textId="77777777" w:rsidR="003E20DF" w:rsidRDefault="00F01A5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27BF3B1" w14:textId="77777777" w:rsidR="003E20DF" w:rsidRDefault="00F01A5C">
            <w:pPr>
              <w:keepNext/>
              <w:keepLines/>
              <w:spacing w:after="0" w:line="240" w:lineRule="auto"/>
              <w:jc w:val="center"/>
            </w:pPr>
            <w:r>
              <w:rPr>
                <w:b/>
                <w:sz w:val="18"/>
              </w:rPr>
              <w:t>Indeks (%)</w:t>
            </w:r>
          </w:p>
        </w:tc>
      </w:tr>
      <w:tr w:rsidR="003E20DF" w14:paraId="40DD3215" w14:textId="77777777">
        <w:trPr>
          <w:cantSplit/>
          <w:trHeight w:val="560"/>
        </w:trPr>
        <w:tc>
          <w:tcPr>
            <w:tcW w:w="700" w:type="dxa"/>
            <w:tcMar>
              <w:top w:w="0" w:type="dxa"/>
              <w:bottom w:w="0" w:type="dxa"/>
            </w:tcMar>
            <w:vAlign w:val="center"/>
          </w:tcPr>
          <w:p w14:paraId="09A85926" w14:textId="77777777" w:rsidR="003E20DF" w:rsidRDefault="00F01A5C">
            <w:pPr>
              <w:keepNext/>
              <w:keepLines/>
              <w:spacing w:after="0" w:line="240" w:lineRule="auto"/>
            </w:pPr>
            <w:r>
              <w:rPr>
                <w:sz w:val="18"/>
              </w:rPr>
              <w:t>99641</w:t>
            </w:r>
          </w:p>
        </w:tc>
        <w:tc>
          <w:tcPr>
            <w:tcW w:w="3180" w:type="dxa"/>
            <w:tcMar>
              <w:top w:w="0" w:type="dxa"/>
              <w:bottom w:w="0" w:type="dxa"/>
            </w:tcMar>
            <w:vAlign w:val="center"/>
          </w:tcPr>
          <w:p w14:paraId="1A70B291" w14:textId="77777777" w:rsidR="003E20DF" w:rsidRDefault="00F01A5C">
            <w:pPr>
              <w:keepNext/>
              <w:keepLines/>
              <w:spacing w:after="0" w:line="240" w:lineRule="auto"/>
            </w:pPr>
            <w:r>
              <w:rPr>
                <w:sz w:val="18"/>
              </w:rPr>
              <w:t>Instrumenti osiguranja plaćanja</w:t>
            </w:r>
          </w:p>
        </w:tc>
        <w:tc>
          <w:tcPr>
            <w:tcW w:w="700" w:type="dxa"/>
            <w:tcMar>
              <w:top w:w="0" w:type="dxa"/>
              <w:bottom w:w="0" w:type="dxa"/>
            </w:tcMar>
            <w:vAlign w:val="center"/>
          </w:tcPr>
          <w:p w14:paraId="707F1B25" w14:textId="77777777" w:rsidR="003E20DF" w:rsidRDefault="00F01A5C">
            <w:pPr>
              <w:keepNext/>
              <w:keepLines/>
              <w:spacing w:after="0" w:line="240" w:lineRule="auto"/>
            </w:pPr>
            <w:r>
              <w:rPr>
                <w:sz w:val="18"/>
              </w:rPr>
              <w:t>99641</w:t>
            </w:r>
          </w:p>
        </w:tc>
        <w:tc>
          <w:tcPr>
            <w:tcW w:w="1860" w:type="dxa"/>
            <w:tcMar>
              <w:top w:w="0" w:type="dxa"/>
              <w:bottom w:w="0" w:type="dxa"/>
            </w:tcMar>
            <w:vAlign w:val="center"/>
          </w:tcPr>
          <w:p w14:paraId="57415CAA" w14:textId="77777777" w:rsidR="003E20DF" w:rsidRDefault="00F01A5C">
            <w:pPr>
              <w:keepNext/>
              <w:keepLines/>
              <w:spacing w:after="0" w:line="240" w:lineRule="auto"/>
              <w:jc w:val="right"/>
            </w:pPr>
            <w:r>
              <w:rPr>
                <w:sz w:val="18"/>
              </w:rPr>
              <w:t>37.423.512,11</w:t>
            </w:r>
          </w:p>
        </w:tc>
        <w:tc>
          <w:tcPr>
            <w:tcW w:w="1860" w:type="dxa"/>
            <w:tcMar>
              <w:top w:w="0" w:type="dxa"/>
              <w:bottom w:w="0" w:type="dxa"/>
            </w:tcMar>
            <w:vAlign w:val="center"/>
          </w:tcPr>
          <w:p w14:paraId="018CDA47" w14:textId="77777777" w:rsidR="003E20DF" w:rsidRDefault="00F01A5C">
            <w:pPr>
              <w:keepNext/>
              <w:keepLines/>
              <w:spacing w:after="0" w:line="240" w:lineRule="auto"/>
              <w:jc w:val="right"/>
            </w:pPr>
            <w:r>
              <w:rPr>
                <w:sz w:val="18"/>
              </w:rPr>
              <w:t>35.009.537,27</w:t>
            </w:r>
          </w:p>
        </w:tc>
        <w:tc>
          <w:tcPr>
            <w:tcW w:w="700" w:type="dxa"/>
            <w:tcMar>
              <w:top w:w="0" w:type="dxa"/>
              <w:bottom w:w="0" w:type="dxa"/>
            </w:tcMar>
            <w:vAlign w:val="center"/>
          </w:tcPr>
          <w:p w14:paraId="139E7438" w14:textId="77777777" w:rsidR="003E20DF" w:rsidRDefault="00F01A5C">
            <w:pPr>
              <w:keepNext/>
              <w:keepLines/>
              <w:spacing w:after="0" w:line="240" w:lineRule="auto"/>
              <w:jc w:val="right"/>
            </w:pPr>
            <w:r>
              <w:rPr>
                <w:sz w:val="18"/>
              </w:rPr>
              <w:t>93,5</w:t>
            </w:r>
          </w:p>
        </w:tc>
      </w:tr>
    </w:tbl>
    <w:p w14:paraId="00D71547" w14:textId="77777777" w:rsidR="003E20DF" w:rsidRDefault="003E20DF">
      <w:pPr>
        <w:spacing w:after="0"/>
      </w:pPr>
    </w:p>
    <w:p w14:paraId="56580515" w14:textId="77777777" w:rsidR="003E20DF" w:rsidRDefault="00F01A5C" w:rsidP="00236FC9">
      <w:pPr>
        <w:jc w:val="both"/>
      </w:pPr>
      <w:r>
        <w:t>U okviru izvanbilančnih zapisa evidentirani su i dani i primljeni instrumenti osiguranja. Pregled danih i primljenih instrumenata osiguranja plaćanja vidljiv je iz sljedećih tablica:</w:t>
      </w:r>
    </w:p>
    <w:tbl>
      <w:tblPr>
        <w:tblStyle w:val="Reetkatablice"/>
        <w:tblW w:w="3649" w:type="pct"/>
        <w:tblLook w:val="04A0" w:firstRow="1" w:lastRow="0" w:firstColumn="1" w:lastColumn="0" w:noHBand="0" w:noVBand="1"/>
      </w:tblPr>
      <w:tblGrid>
        <w:gridCol w:w="3306"/>
        <w:gridCol w:w="3307"/>
      </w:tblGrid>
      <w:tr w:rsidR="003E20DF" w14:paraId="526B5BD5" w14:textId="77777777">
        <w:trPr>
          <w:trHeight w:val="542"/>
        </w:trPr>
        <w:tc>
          <w:tcPr>
            <w:tcW w:w="2500" w:type="pct"/>
            <w:vAlign w:val="center"/>
          </w:tcPr>
          <w:p w14:paraId="09C7CAA1" w14:textId="77777777" w:rsidR="003E20DF" w:rsidRDefault="00F01A5C">
            <w:r>
              <w:rPr>
                <w:b/>
              </w:rPr>
              <w:t>Primljeni instrumenti osiguranja plaćanja</w:t>
            </w:r>
          </w:p>
        </w:tc>
        <w:tc>
          <w:tcPr>
            <w:tcW w:w="2500" w:type="pct"/>
            <w:vAlign w:val="center"/>
          </w:tcPr>
          <w:p w14:paraId="50B532D1" w14:textId="77777777" w:rsidR="003E20DF" w:rsidRDefault="00F01A5C">
            <w:r>
              <w:rPr>
                <w:b/>
              </w:rPr>
              <w:t>Iznos</w:t>
            </w:r>
          </w:p>
        </w:tc>
      </w:tr>
      <w:tr w:rsidR="003E20DF" w14:paraId="38F86901" w14:textId="77777777">
        <w:trPr>
          <w:trHeight w:val="542"/>
        </w:trPr>
        <w:tc>
          <w:tcPr>
            <w:tcW w:w="2500" w:type="pct"/>
            <w:vAlign w:val="center"/>
          </w:tcPr>
          <w:p w14:paraId="7BAEE765" w14:textId="77777777" w:rsidR="003E20DF" w:rsidRDefault="00F01A5C">
            <w:r>
              <w:t>Bankarske garancije</w:t>
            </w:r>
          </w:p>
        </w:tc>
        <w:tc>
          <w:tcPr>
            <w:tcW w:w="2500" w:type="pct"/>
            <w:vAlign w:val="center"/>
          </w:tcPr>
          <w:p w14:paraId="7FF018E8" w14:textId="77777777" w:rsidR="003E20DF" w:rsidRDefault="00F01A5C">
            <w:r>
              <w:t>22.232.989,13</w:t>
            </w:r>
          </w:p>
        </w:tc>
      </w:tr>
      <w:tr w:rsidR="003E20DF" w14:paraId="13417F32" w14:textId="77777777">
        <w:trPr>
          <w:trHeight w:val="542"/>
        </w:trPr>
        <w:tc>
          <w:tcPr>
            <w:tcW w:w="2500" w:type="pct"/>
            <w:vAlign w:val="center"/>
          </w:tcPr>
          <w:p w14:paraId="2CE1146B" w14:textId="77777777" w:rsidR="003E20DF" w:rsidRDefault="00F01A5C">
            <w:r>
              <w:t>Bjanko mjenica</w:t>
            </w:r>
          </w:p>
        </w:tc>
        <w:tc>
          <w:tcPr>
            <w:tcW w:w="2500" w:type="pct"/>
            <w:vAlign w:val="center"/>
          </w:tcPr>
          <w:p w14:paraId="51D92A88" w14:textId="77777777" w:rsidR="003E20DF" w:rsidRDefault="00F01A5C">
            <w:r>
              <w:t>278.449,61</w:t>
            </w:r>
          </w:p>
        </w:tc>
      </w:tr>
      <w:tr w:rsidR="003E20DF" w14:paraId="64FB0B1A" w14:textId="77777777">
        <w:trPr>
          <w:trHeight w:val="542"/>
        </w:trPr>
        <w:tc>
          <w:tcPr>
            <w:tcW w:w="2500" w:type="pct"/>
            <w:vAlign w:val="center"/>
          </w:tcPr>
          <w:p w14:paraId="52B96832" w14:textId="77777777" w:rsidR="003E20DF" w:rsidRDefault="00F01A5C">
            <w:r>
              <w:lastRenderedPageBreak/>
              <w:t>Zadužnica</w:t>
            </w:r>
          </w:p>
        </w:tc>
        <w:tc>
          <w:tcPr>
            <w:tcW w:w="2500" w:type="pct"/>
            <w:vAlign w:val="center"/>
          </w:tcPr>
          <w:p w14:paraId="2DDF277F" w14:textId="77777777" w:rsidR="003E20DF" w:rsidRDefault="00F01A5C">
            <w:r>
              <w:t>8.185.002,35</w:t>
            </w:r>
          </w:p>
        </w:tc>
      </w:tr>
      <w:tr w:rsidR="003E20DF" w14:paraId="08D1F76B" w14:textId="77777777">
        <w:trPr>
          <w:trHeight w:val="542"/>
        </w:trPr>
        <w:tc>
          <w:tcPr>
            <w:tcW w:w="2500" w:type="pct"/>
            <w:vAlign w:val="center"/>
          </w:tcPr>
          <w:p w14:paraId="0DE5C7BB" w14:textId="77777777" w:rsidR="003E20DF" w:rsidRDefault="00F01A5C">
            <w:r>
              <w:t>Polica osiguranja</w:t>
            </w:r>
          </w:p>
        </w:tc>
        <w:tc>
          <w:tcPr>
            <w:tcW w:w="2500" w:type="pct"/>
            <w:vAlign w:val="center"/>
          </w:tcPr>
          <w:p w14:paraId="432BF7E5" w14:textId="77777777" w:rsidR="003E20DF" w:rsidRDefault="00F01A5C">
            <w:r>
              <w:t>61.747,69</w:t>
            </w:r>
          </w:p>
        </w:tc>
      </w:tr>
      <w:tr w:rsidR="003E20DF" w14:paraId="73BDA8DF" w14:textId="77777777">
        <w:trPr>
          <w:trHeight w:val="542"/>
        </w:trPr>
        <w:tc>
          <w:tcPr>
            <w:tcW w:w="2500" w:type="pct"/>
            <w:vAlign w:val="center"/>
          </w:tcPr>
          <w:p w14:paraId="7A0D7492" w14:textId="77777777" w:rsidR="003E20DF" w:rsidRDefault="00F01A5C">
            <w:r>
              <w:rPr>
                <w:b/>
              </w:rPr>
              <w:t>UKUPNO</w:t>
            </w:r>
          </w:p>
        </w:tc>
        <w:tc>
          <w:tcPr>
            <w:tcW w:w="2500" w:type="pct"/>
            <w:vAlign w:val="center"/>
          </w:tcPr>
          <w:p w14:paraId="713E07C9" w14:textId="77777777" w:rsidR="003E20DF" w:rsidRDefault="00F01A5C">
            <w:r>
              <w:rPr>
                <w:b/>
              </w:rPr>
              <w:t>30.758.188,78</w:t>
            </w:r>
          </w:p>
        </w:tc>
      </w:tr>
      <w:tr w:rsidR="003E20DF" w14:paraId="71C4BCD2" w14:textId="77777777">
        <w:trPr>
          <w:trHeight w:val="542"/>
        </w:trPr>
        <w:tc>
          <w:tcPr>
            <w:tcW w:w="2500" w:type="pct"/>
            <w:vAlign w:val="center"/>
          </w:tcPr>
          <w:p w14:paraId="4E0460C8" w14:textId="77777777" w:rsidR="003E20DF" w:rsidRDefault="00F01A5C">
            <w:r>
              <w:rPr>
                <w:b/>
              </w:rPr>
              <w:t>Izdani instrumenti osiguranja plaćanja </w:t>
            </w:r>
          </w:p>
        </w:tc>
        <w:tc>
          <w:tcPr>
            <w:tcW w:w="2500" w:type="pct"/>
            <w:vAlign w:val="center"/>
          </w:tcPr>
          <w:p w14:paraId="1901B68B" w14:textId="77777777" w:rsidR="003E20DF" w:rsidRDefault="00F01A5C">
            <w:r>
              <w:rPr>
                <w:b/>
              </w:rPr>
              <w:t>Iznos</w:t>
            </w:r>
          </w:p>
        </w:tc>
      </w:tr>
      <w:tr w:rsidR="003E20DF" w14:paraId="16D86F2E" w14:textId="77777777">
        <w:trPr>
          <w:trHeight w:val="542"/>
        </w:trPr>
        <w:tc>
          <w:tcPr>
            <w:tcW w:w="2500" w:type="pct"/>
            <w:vAlign w:val="center"/>
          </w:tcPr>
          <w:p w14:paraId="238CCBB0" w14:textId="77777777" w:rsidR="003E20DF" w:rsidRDefault="00F01A5C">
            <w:r>
              <w:t>Zadužnica </w:t>
            </w:r>
          </w:p>
        </w:tc>
        <w:tc>
          <w:tcPr>
            <w:tcW w:w="2500" w:type="pct"/>
            <w:vAlign w:val="center"/>
          </w:tcPr>
          <w:p w14:paraId="6B6EDB1A" w14:textId="77777777" w:rsidR="003E20DF" w:rsidRDefault="00F01A5C">
            <w:r>
              <w:t>4.251.348,49</w:t>
            </w:r>
          </w:p>
        </w:tc>
      </w:tr>
      <w:tr w:rsidR="003E20DF" w14:paraId="3C2527D2" w14:textId="77777777">
        <w:trPr>
          <w:trHeight w:val="542"/>
        </w:trPr>
        <w:tc>
          <w:tcPr>
            <w:tcW w:w="2500" w:type="pct"/>
            <w:vAlign w:val="center"/>
          </w:tcPr>
          <w:p w14:paraId="082DFF92" w14:textId="77777777" w:rsidR="003E20DF" w:rsidRDefault="00F01A5C">
            <w:r>
              <w:rPr>
                <w:b/>
              </w:rPr>
              <w:t>UKUPNO</w:t>
            </w:r>
          </w:p>
        </w:tc>
        <w:tc>
          <w:tcPr>
            <w:tcW w:w="2500" w:type="pct"/>
            <w:vAlign w:val="center"/>
          </w:tcPr>
          <w:p w14:paraId="67B23EEE" w14:textId="77777777" w:rsidR="003E20DF" w:rsidRDefault="00F01A5C">
            <w:r>
              <w:rPr>
                <w:b/>
              </w:rPr>
              <w:t>4.251.348,49</w:t>
            </w:r>
          </w:p>
        </w:tc>
      </w:tr>
    </w:tbl>
    <w:p w14:paraId="78758AB0" w14:textId="77777777" w:rsidR="003E20DF" w:rsidRDefault="00F01A5C">
      <w:r>
        <w:t> </w:t>
      </w:r>
    </w:p>
    <w:p w14:paraId="50567540" w14:textId="77777777" w:rsidR="003E20DF" w:rsidRDefault="003E20DF"/>
    <w:p w14:paraId="1FDD0712" w14:textId="77777777" w:rsidR="003E20DF" w:rsidRDefault="00F01A5C">
      <w:pPr>
        <w:keepNext/>
        <w:spacing w:line="240" w:lineRule="auto"/>
        <w:jc w:val="center"/>
      </w:pPr>
      <w:r>
        <w:rPr>
          <w:sz w:val="28"/>
        </w:rPr>
        <w:t>Bilješka 91.</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20DF" w14:paraId="000B1C22" w14:textId="77777777">
        <w:trPr>
          <w:cantSplit/>
        </w:trPr>
        <w:tc>
          <w:tcPr>
            <w:tcW w:w="700" w:type="dxa"/>
            <w:shd w:val="clear" w:color="auto" w:fill="E7F0F9"/>
            <w:tcMar>
              <w:top w:w="0" w:type="dxa"/>
              <w:bottom w:w="0" w:type="dxa"/>
            </w:tcMar>
            <w:vAlign w:val="center"/>
          </w:tcPr>
          <w:p w14:paraId="7D6509D0" w14:textId="77777777" w:rsidR="003E20DF" w:rsidRDefault="00F01A5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8366D52" w14:textId="77777777" w:rsidR="003E20DF" w:rsidRDefault="00F01A5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B0CA6E6" w14:textId="77777777" w:rsidR="003E20DF" w:rsidRDefault="00F01A5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F6BA3AA" w14:textId="77777777" w:rsidR="003E20DF" w:rsidRDefault="00F01A5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F728FFE" w14:textId="77777777" w:rsidR="003E20DF" w:rsidRDefault="00F01A5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90AD7F2" w14:textId="77777777" w:rsidR="003E20DF" w:rsidRDefault="00F01A5C">
            <w:pPr>
              <w:keepNext/>
              <w:keepLines/>
              <w:spacing w:after="0" w:line="240" w:lineRule="auto"/>
              <w:jc w:val="center"/>
            </w:pPr>
            <w:r>
              <w:rPr>
                <w:b/>
                <w:sz w:val="18"/>
              </w:rPr>
              <w:t>Indeks (%)</w:t>
            </w:r>
          </w:p>
        </w:tc>
      </w:tr>
      <w:tr w:rsidR="003E20DF" w14:paraId="5346F111" w14:textId="77777777">
        <w:trPr>
          <w:cantSplit/>
          <w:trHeight w:val="560"/>
        </w:trPr>
        <w:tc>
          <w:tcPr>
            <w:tcW w:w="700" w:type="dxa"/>
            <w:tcMar>
              <w:top w:w="0" w:type="dxa"/>
              <w:bottom w:w="0" w:type="dxa"/>
            </w:tcMar>
            <w:vAlign w:val="center"/>
          </w:tcPr>
          <w:p w14:paraId="45430730" w14:textId="77777777" w:rsidR="003E20DF" w:rsidRDefault="00F01A5C">
            <w:pPr>
              <w:keepNext/>
              <w:keepLines/>
              <w:spacing w:after="0" w:line="240" w:lineRule="auto"/>
            </w:pPr>
            <w:r>
              <w:rPr>
                <w:sz w:val="18"/>
              </w:rPr>
              <w:t>99651</w:t>
            </w:r>
          </w:p>
        </w:tc>
        <w:tc>
          <w:tcPr>
            <w:tcW w:w="3180" w:type="dxa"/>
            <w:tcMar>
              <w:top w:w="0" w:type="dxa"/>
              <w:bottom w:w="0" w:type="dxa"/>
            </w:tcMar>
            <w:vAlign w:val="center"/>
          </w:tcPr>
          <w:p w14:paraId="3777972E" w14:textId="77777777" w:rsidR="003E20DF" w:rsidRDefault="00F01A5C">
            <w:pPr>
              <w:keepNext/>
              <w:keepLines/>
              <w:spacing w:after="0" w:line="240" w:lineRule="auto"/>
            </w:pPr>
            <w:r>
              <w:rPr>
                <w:sz w:val="18"/>
              </w:rPr>
              <w:t>Potencijalne obveze po osnovi sudskih sporova u tijeku</w:t>
            </w:r>
          </w:p>
        </w:tc>
        <w:tc>
          <w:tcPr>
            <w:tcW w:w="700" w:type="dxa"/>
            <w:tcMar>
              <w:top w:w="0" w:type="dxa"/>
              <w:bottom w:w="0" w:type="dxa"/>
            </w:tcMar>
            <w:vAlign w:val="center"/>
          </w:tcPr>
          <w:p w14:paraId="01EF7F8E" w14:textId="77777777" w:rsidR="003E20DF" w:rsidRDefault="00F01A5C">
            <w:pPr>
              <w:keepNext/>
              <w:keepLines/>
              <w:spacing w:after="0" w:line="240" w:lineRule="auto"/>
            </w:pPr>
            <w:r>
              <w:rPr>
                <w:sz w:val="18"/>
              </w:rPr>
              <w:t>99651</w:t>
            </w:r>
          </w:p>
        </w:tc>
        <w:tc>
          <w:tcPr>
            <w:tcW w:w="1860" w:type="dxa"/>
            <w:tcMar>
              <w:top w:w="0" w:type="dxa"/>
              <w:bottom w:w="0" w:type="dxa"/>
            </w:tcMar>
            <w:vAlign w:val="center"/>
          </w:tcPr>
          <w:p w14:paraId="5BFD14C5" w14:textId="77777777" w:rsidR="003E20DF" w:rsidRDefault="00F01A5C">
            <w:pPr>
              <w:keepNext/>
              <w:keepLines/>
              <w:spacing w:after="0" w:line="240" w:lineRule="auto"/>
              <w:jc w:val="right"/>
            </w:pPr>
            <w:r>
              <w:rPr>
                <w:sz w:val="18"/>
              </w:rPr>
              <w:t>5.483.692,81</w:t>
            </w:r>
          </w:p>
        </w:tc>
        <w:tc>
          <w:tcPr>
            <w:tcW w:w="1860" w:type="dxa"/>
            <w:tcMar>
              <w:top w:w="0" w:type="dxa"/>
              <w:bottom w:w="0" w:type="dxa"/>
            </w:tcMar>
            <w:vAlign w:val="center"/>
          </w:tcPr>
          <w:p w14:paraId="1712AD87" w14:textId="77777777" w:rsidR="003E20DF" w:rsidRDefault="00F01A5C">
            <w:pPr>
              <w:keepNext/>
              <w:keepLines/>
              <w:spacing w:after="0" w:line="240" w:lineRule="auto"/>
              <w:jc w:val="right"/>
            </w:pPr>
            <w:r>
              <w:rPr>
                <w:sz w:val="18"/>
              </w:rPr>
              <w:t>2.911.930,43</w:t>
            </w:r>
          </w:p>
        </w:tc>
        <w:tc>
          <w:tcPr>
            <w:tcW w:w="700" w:type="dxa"/>
            <w:tcMar>
              <w:top w:w="0" w:type="dxa"/>
              <w:bottom w:w="0" w:type="dxa"/>
            </w:tcMar>
            <w:vAlign w:val="center"/>
          </w:tcPr>
          <w:p w14:paraId="4297C3FF" w14:textId="77777777" w:rsidR="003E20DF" w:rsidRDefault="00F01A5C">
            <w:pPr>
              <w:keepNext/>
              <w:keepLines/>
              <w:spacing w:after="0" w:line="240" w:lineRule="auto"/>
              <w:jc w:val="right"/>
            </w:pPr>
            <w:r>
              <w:rPr>
                <w:sz w:val="18"/>
              </w:rPr>
              <w:t>53,1</w:t>
            </w:r>
          </w:p>
        </w:tc>
      </w:tr>
    </w:tbl>
    <w:p w14:paraId="639AF470" w14:textId="77777777" w:rsidR="003E20DF" w:rsidRDefault="003E20DF">
      <w:pPr>
        <w:spacing w:after="0"/>
      </w:pPr>
    </w:p>
    <w:p w14:paraId="4AA04FAB" w14:textId="77777777" w:rsidR="003E20DF" w:rsidRDefault="00F01A5C" w:rsidP="00882057">
      <w:pPr>
        <w:ind w:firstLine="708"/>
        <w:jc w:val="both"/>
      </w:pPr>
      <w:r>
        <w:t>Sudski postupci koje Grad vodi u najvećem broju  odnose na naplatu prihoda,  iseljenja iz stanova koje koriste bespravni korisnici; iseljenja iz poslovnih prostora radi neplaćanja zakupnine, zatim ošasne imovine (imovine bez nasljednika) i predmeta koji proizlaze iz te imovine odnosno ostavine, sporovi radi priznavanja prava vlasništva dosjelošću, građenjem itd., naknade šteta zbog nezgoda na javnim površinama i drugo.</w:t>
      </w:r>
    </w:p>
    <w:p w14:paraId="031D2AF1" w14:textId="77777777" w:rsidR="003E20DF" w:rsidRDefault="00F01A5C" w:rsidP="00236FC9">
      <w:pPr>
        <w:jc w:val="both"/>
      </w:pPr>
      <w:r>
        <w:t>Na dan 31.12.2025. u okviru izvanbilančnih zapisa evidentirane su potencijalne obveze po sudskim sporovima u kojima je Grad Osijek tuženik u iznosu 2.911.930,43 eura. Iskazano smanjenje dijelom proizlazi iz ispravka evidentiranog stanja, obzirom da su u prethodnim godinama bili evidentirani i sudski postupci u kojima je Grad Osijek bio tužitelj.</w:t>
      </w:r>
    </w:p>
    <w:p w14:paraId="11050E89" w14:textId="77777777" w:rsidR="003E20DF" w:rsidRDefault="00F01A5C" w:rsidP="00236FC9">
      <w:pPr>
        <w:jc w:val="both"/>
      </w:pPr>
      <w:r>
        <w:t>O svim sudskim predmetima se vode evidencije i posebna izvješća koja je moguće dobiti i po potrebi izvršiti uvid u nadležnom upravnom tijelu Grada.</w:t>
      </w:r>
    </w:p>
    <w:p w14:paraId="0A0B4CFB" w14:textId="77777777" w:rsidR="003E20DF" w:rsidRDefault="003E20DF"/>
    <w:p w14:paraId="6E94EDEE" w14:textId="77777777" w:rsidR="003E20DF" w:rsidRDefault="00F01A5C">
      <w:pPr>
        <w:keepNext/>
        <w:spacing w:line="240" w:lineRule="auto"/>
        <w:jc w:val="center"/>
      </w:pPr>
      <w:r>
        <w:rPr>
          <w:sz w:val="28"/>
        </w:rPr>
        <w:t>Bilješka 92.</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20DF" w14:paraId="0B207CDF" w14:textId="77777777">
        <w:trPr>
          <w:cantSplit/>
        </w:trPr>
        <w:tc>
          <w:tcPr>
            <w:tcW w:w="700" w:type="dxa"/>
            <w:shd w:val="clear" w:color="auto" w:fill="E7F0F9"/>
            <w:tcMar>
              <w:top w:w="0" w:type="dxa"/>
              <w:bottom w:w="0" w:type="dxa"/>
            </w:tcMar>
            <w:vAlign w:val="center"/>
          </w:tcPr>
          <w:p w14:paraId="6278BEDE" w14:textId="77777777" w:rsidR="003E20DF" w:rsidRDefault="00F01A5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D3F2AC8" w14:textId="77777777" w:rsidR="003E20DF" w:rsidRDefault="00F01A5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B591639" w14:textId="77777777" w:rsidR="003E20DF" w:rsidRDefault="00F01A5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3B63AD5" w14:textId="77777777" w:rsidR="003E20DF" w:rsidRDefault="00F01A5C">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0FBEB13" w14:textId="77777777" w:rsidR="003E20DF" w:rsidRDefault="00F01A5C">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B760EBE" w14:textId="77777777" w:rsidR="003E20DF" w:rsidRDefault="00F01A5C">
            <w:pPr>
              <w:keepNext/>
              <w:keepLines/>
              <w:spacing w:after="0" w:line="240" w:lineRule="auto"/>
              <w:jc w:val="center"/>
            </w:pPr>
            <w:r>
              <w:rPr>
                <w:b/>
                <w:sz w:val="18"/>
              </w:rPr>
              <w:t>Indeks (%)</w:t>
            </w:r>
          </w:p>
        </w:tc>
      </w:tr>
      <w:tr w:rsidR="003E20DF" w14:paraId="60D134DF" w14:textId="77777777">
        <w:trPr>
          <w:cantSplit/>
          <w:trHeight w:val="560"/>
        </w:trPr>
        <w:tc>
          <w:tcPr>
            <w:tcW w:w="700" w:type="dxa"/>
            <w:tcMar>
              <w:top w:w="0" w:type="dxa"/>
              <w:bottom w:w="0" w:type="dxa"/>
            </w:tcMar>
            <w:vAlign w:val="center"/>
          </w:tcPr>
          <w:p w14:paraId="7863356D" w14:textId="77777777" w:rsidR="003E20DF" w:rsidRDefault="00F01A5C">
            <w:pPr>
              <w:keepNext/>
              <w:keepLines/>
              <w:spacing w:after="0" w:line="240" w:lineRule="auto"/>
            </w:pPr>
            <w:r>
              <w:rPr>
                <w:sz w:val="18"/>
              </w:rPr>
              <w:t>99671</w:t>
            </w:r>
          </w:p>
        </w:tc>
        <w:tc>
          <w:tcPr>
            <w:tcW w:w="3180" w:type="dxa"/>
            <w:tcMar>
              <w:top w:w="0" w:type="dxa"/>
              <w:bottom w:w="0" w:type="dxa"/>
            </w:tcMar>
            <w:vAlign w:val="center"/>
          </w:tcPr>
          <w:p w14:paraId="11057C34" w14:textId="77777777" w:rsidR="003E20DF" w:rsidRDefault="00F01A5C">
            <w:pPr>
              <w:keepNext/>
              <w:keepLines/>
              <w:spacing w:after="0" w:line="240" w:lineRule="auto"/>
            </w:pPr>
            <w:r>
              <w:rPr>
                <w:sz w:val="18"/>
              </w:rPr>
              <w:t>Potraživanja po ugovorima o dodijeljenim bespovratnim sredstvima iz EU fondova</w:t>
            </w:r>
          </w:p>
        </w:tc>
        <w:tc>
          <w:tcPr>
            <w:tcW w:w="700" w:type="dxa"/>
            <w:tcMar>
              <w:top w:w="0" w:type="dxa"/>
              <w:bottom w:w="0" w:type="dxa"/>
            </w:tcMar>
            <w:vAlign w:val="center"/>
          </w:tcPr>
          <w:p w14:paraId="1A7A960F" w14:textId="77777777" w:rsidR="003E20DF" w:rsidRDefault="00F01A5C">
            <w:pPr>
              <w:keepNext/>
              <w:keepLines/>
              <w:spacing w:after="0" w:line="240" w:lineRule="auto"/>
            </w:pPr>
            <w:r>
              <w:rPr>
                <w:sz w:val="18"/>
              </w:rPr>
              <w:t>99671</w:t>
            </w:r>
          </w:p>
        </w:tc>
        <w:tc>
          <w:tcPr>
            <w:tcW w:w="1860" w:type="dxa"/>
            <w:tcMar>
              <w:top w:w="0" w:type="dxa"/>
              <w:bottom w:w="0" w:type="dxa"/>
            </w:tcMar>
            <w:vAlign w:val="center"/>
          </w:tcPr>
          <w:p w14:paraId="6BDB75A5" w14:textId="77777777" w:rsidR="003E20DF" w:rsidRDefault="00F01A5C">
            <w:pPr>
              <w:keepNext/>
              <w:keepLines/>
              <w:spacing w:after="0" w:line="240" w:lineRule="auto"/>
              <w:jc w:val="right"/>
            </w:pPr>
            <w:r>
              <w:rPr>
                <w:sz w:val="18"/>
              </w:rPr>
              <w:t>0,00</w:t>
            </w:r>
          </w:p>
        </w:tc>
        <w:tc>
          <w:tcPr>
            <w:tcW w:w="1860" w:type="dxa"/>
            <w:tcMar>
              <w:top w:w="0" w:type="dxa"/>
              <w:bottom w:w="0" w:type="dxa"/>
            </w:tcMar>
            <w:vAlign w:val="center"/>
          </w:tcPr>
          <w:p w14:paraId="5D3D1D9F" w14:textId="77777777" w:rsidR="003E20DF" w:rsidRDefault="00F01A5C">
            <w:pPr>
              <w:keepNext/>
              <w:keepLines/>
              <w:spacing w:after="0" w:line="240" w:lineRule="auto"/>
              <w:jc w:val="right"/>
            </w:pPr>
            <w:r>
              <w:rPr>
                <w:sz w:val="18"/>
              </w:rPr>
              <w:t>12.107.553,18</w:t>
            </w:r>
          </w:p>
        </w:tc>
        <w:tc>
          <w:tcPr>
            <w:tcW w:w="700" w:type="dxa"/>
            <w:tcMar>
              <w:top w:w="0" w:type="dxa"/>
              <w:bottom w:w="0" w:type="dxa"/>
            </w:tcMar>
            <w:vAlign w:val="center"/>
          </w:tcPr>
          <w:p w14:paraId="0CA63F25" w14:textId="77777777" w:rsidR="003E20DF" w:rsidRDefault="00F01A5C">
            <w:pPr>
              <w:keepNext/>
              <w:keepLines/>
              <w:spacing w:after="0" w:line="240" w:lineRule="auto"/>
              <w:jc w:val="right"/>
            </w:pPr>
            <w:r>
              <w:rPr>
                <w:sz w:val="18"/>
              </w:rPr>
              <w:t>-</w:t>
            </w:r>
          </w:p>
        </w:tc>
      </w:tr>
    </w:tbl>
    <w:p w14:paraId="54E64553" w14:textId="77777777" w:rsidR="003E20DF" w:rsidRDefault="003E20DF">
      <w:pPr>
        <w:spacing w:after="0"/>
      </w:pPr>
    </w:p>
    <w:p w14:paraId="20FE53BA" w14:textId="77777777" w:rsidR="003E20DF" w:rsidRDefault="00F01A5C" w:rsidP="00E72F6C">
      <w:pPr>
        <w:ind w:firstLine="708"/>
        <w:jc w:val="both"/>
      </w:pPr>
      <w:r>
        <w:t>Sukladno uputi o računovodstvenom evidentiranje EU projekata, u okviru ovoga računa evidentirana su potraživanja temeljem zaključenih ugovora o bespovratnim sredstvima europske unije za novo financijsko razdoblje 2021.-2027. </w:t>
      </w:r>
    </w:p>
    <w:p w14:paraId="57DEC07D" w14:textId="77777777" w:rsidR="003E20DF" w:rsidRDefault="003E20DF"/>
    <w:p w14:paraId="178B64E9" w14:textId="77777777" w:rsidR="003E20DF" w:rsidRDefault="00F01A5C">
      <w:pPr>
        <w:keepNext/>
        <w:spacing w:line="240" w:lineRule="auto"/>
        <w:jc w:val="center"/>
      </w:pPr>
      <w:r>
        <w:rPr>
          <w:b/>
          <w:sz w:val="28"/>
        </w:rPr>
        <w:t>Izvještaj o rashodima prema funkcijskoj klasifikaciji</w:t>
      </w:r>
    </w:p>
    <w:p w14:paraId="59AB0EE4" w14:textId="77777777" w:rsidR="003E20DF" w:rsidRDefault="00F01A5C">
      <w:pPr>
        <w:keepNext/>
        <w:spacing w:line="240" w:lineRule="auto"/>
        <w:jc w:val="center"/>
      </w:pPr>
      <w:r>
        <w:rPr>
          <w:sz w:val="28"/>
        </w:rPr>
        <w:t>Bilješka 93.</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20DF" w14:paraId="13B0FD80" w14:textId="77777777">
        <w:trPr>
          <w:cantSplit/>
        </w:trPr>
        <w:tc>
          <w:tcPr>
            <w:tcW w:w="700" w:type="dxa"/>
            <w:shd w:val="clear" w:color="auto" w:fill="E7F0F9"/>
            <w:tcMar>
              <w:top w:w="0" w:type="dxa"/>
              <w:bottom w:w="0" w:type="dxa"/>
            </w:tcMar>
            <w:vAlign w:val="center"/>
          </w:tcPr>
          <w:p w14:paraId="12672F47" w14:textId="77777777" w:rsidR="003E20DF" w:rsidRDefault="00F01A5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B8D603B" w14:textId="77777777" w:rsidR="003E20DF" w:rsidRDefault="00F01A5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9B17C12" w14:textId="77777777" w:rsidR="003E20DF" w:rsidRDefault="00F01A5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8F180B3" w14:textId="77777777" w:rsidR="003E20DF" w:rsidRDefault="00F01A5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3E33BC6" w14:textId="77777777" w:rsidR="003E20DF" w:rsidRDefault="00F01A5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F791895" w14:textId="77777777" w:rsidR="003E20DF" w:rsidRDefault="00F01A5C">
            <w:pPr>
              <w:keepNext/>
              <w:keepLines/>
              <w:spacing w:after="0" w:line="240" w:lineRule="auto"/>
              <w:jc w:val="center"/>
            </w:pPr>
            <w:r>
              <w:rPr>
                <w:b/>
                <w:sz w:val="18"/>
              </w:rPr>
              <w:t>Indeks (%)</w:t>
            </w:r>
          </w:p>
        </w:tc>
      </w:tr>
      <w:tr w:rsidR="003E20DF" w14:paraId="4EBC4CA1" w14:textId="77777777">
        <w:trPr>
          <w:cantSplit/>
          <w:trHeight w:val="560"/>
        </w:trPr>
        <w:tc>
          <w:tcPr>
            <w:tcW w:w="700" w:type="dxa"/>
            <w:tcMar>
              <w:top w:w="0" w:type="dxa"/>
              <w:bottom w:w="0" w:type="dxa"/>
            </w:tcMar>
            <w:vAlign w:val="center"/>
          </w:tcPr>
          <w:p w14:paraId="07F9C43C" w14:textId="77777777" w:rsidR="003E20DF" w:rsidRDefault="00F01A5C">
            <w:pPr>
              <w:keepNext/>
              <w:keepLines/>
              <w:spacing w:after="0" w:line="240" w:lineRule="auto"/>
            </w:pPr>
            <w:r>
              <w:rPr>
                <w:sz w:val="18"/>
              </w:rPr>
              <w:t>0111</w:t>
            </w:r>
          </w:p>
        </w:tc>
        <w:tc>
          <w:tcPr>
            <w:tcW w:w="3180" w:type="dxa"/>
            <w:tcMar>
              <w:top w:w="0" w:type="dxa"/>
              <w:bottom w:w="0" w:type="dxa"/>
            </w:tcMar>
            <w:vAlign w:val="center"/>
          </w:tcPr>
          <w:p w14:paraId="13E9F622" w14:textId="77777777" w:rsidR="003E20DF" w:rsidRDefault="00F01A5C">
            <w:pPr>
              <w:keepNext/>
              <w:keepLines/>
              <w:spacing w:after="0" w:line="240" w:lineRule="auto"/>
            </w:pPr>
            <w:r>
              <w:rPr>
                <w:sz w:val="18"/>
              </w:rPr>
              <w:t>Izvršna i zakonodavna tijela</w:t>
            </w:r>
          </w:p>
        </w:tc>
        <w:tc>
          <w:tcPr>
            <w:tcW w:w="700" w:type="dxa"/>
            <w:tcMar>
              <w:top w:w="0" w:type="dxa"/>
              <w:bottom w:w="0" w:type="dxa"/>
            </w:tcMar>
            <w:vAlign w:val="center"/>
          </w:tcPr>
          <w:p w14:paraId="11944302" w14:textId="77777777" w:rsidR="003E20DF" w:rsidRDefault="00F01A5C">
            <w:pPr>
              <w:keepNext/>
              <w:keepLines/>
              <w:spacing w:after="0" w:line="240" w:lineRule="auto"/>
            </w:pPr>
            <w:r>
              <w:rPr>
                <w:sz w:val="18"/>
              </w:rPr>
              <w:t>0111</w:t>
            </w:r>
          </w:p>
        </w:tc>
        <w:tc>
          <w:tcPr>
            <w:tcW w:w="1860" w:type="dxa"/>
            <w:tcMar>
              <w:top w:w="0" w:type="dxa"/>
              <w:bottom w:w="0" w:type="dxa"/>
            </w:tcMar>
            <w:vAlign w:val="center"/>
          </w:tcPr>
          <w:p w14:paraId="7FDB503B" w14:textId="77777777" w:rsidR="003E20DF" w:rsidRDefault="00F01A5C">
            <w:pPr>
              <w:keepNext/>
              <w:keepLines/>
              <w:spacing w:after="0" w:line="240" w:lineRule="auto"/>
              <w:jc w:val="right"/>
            </w:pPr>
            <w:r>
              <w:rPr>
                <w:sz w:val="18"/>
              </w:rPr>
              <w:t>5.521.773,08</w:t>
            </w:r>
          </w:p>
        </w:tc>
        <w:tc>
          <w:tcPr>
            <w:tcW w:w="1860" w:type="dxa"/>
            <w:tcMar>
              <w:top w:w="0" w:type="dxa"/>
              <w:bottom w:w="0" w:type="dxa"/>
            </w:tcMar>
            <w:vAlign w:val="center"/>
          </w:tcPr>
          <w:p w14:paraId="1BA1E398" w14:textId="77777777" w:rsidR="003E20DF" w:rsidRDefault="00F01A5C">
            <w:pPr>
              <w:keepNext/>
              <w:keepLines/>
              <w:spacing w:after="0" w:line="240" w:lineRule="auto"/>
              <w:jc w:val="right"/>
            </w:pPr>
            <w:r>
              <w:rPr>
                <w:sz w:val="18"/>
              </w:rPr>
              <w:t>6.735.740,24</w:t>
            </w:r>
          </w:p>
        </w:tc>
        <w:tc>
          <w:tcPr>
            <w:tcW w:w="700" w:type="dxa"/>
            <w:tcMar>
              <w:top w:w="0" w:type="dxa"/>
              <w:bottom w:w="0" w:type="dxa"/>
            </w:tcMar>
            <w:vAlign w:val="center"/>
          </w:tcPr>
          <w:p w14:paraId="2CA4F0F2" w14:textId="77777777" w:rsidR="003E20DF" w:rsidRDefault="00F01A5C">
            <w:pPr>
              <w:keepNext/>
              <w:keepLines/>
              <w:spacing w:after="0" w:line="240" w:lineRule="auto"/>
              <w:jc w:val="right"/>
            </w:pPr>
            <w:r>
              <w:rPr>
                <w:sz w:val="18"/>
              </w:rPr>
              <w:t>122,0</w:t>
            </w:r>
          </w:p>
        </w:tc>
      </w:tr>
    </w:tbl>
    <w:p w14:paraId="28D498BA" w14:textId="77777777" w:rsidR="003E20DF" w:rsidRDefault="003E20DF">
      <w:pPr>
        <w:spacing w:after="0"/>
      </w:pPr>
    </w:p>
    <w:p w14:paraId="7EF3E20C" w14:textId="77777777" w:rsidR="003E20DF" w:rsidRDefault="00F01A5C" w:rsidP="00E72F6C">
      <w:pPr>
        <w:ind w:firstLine="708"/>
        <w:jc w:val="both"/>
      </w:pPr>
      <w:r>
        <w:t>Izvršna i zakonodavna tijela – iskazano povećanje najvećim dijelom proizlazi iz rasta rashoda za zaposlene temeljem povećanja koeficijenata za obračun plaće te drugih materijalnih prava sukladno Kolektivnom ugovoru, kao i obveze evidentiranja troška ''trinaeste'' plaće, odnosno ukidanja računa vremenskih razgraničenja.</w:t>
      </w:r>
    </w:p>
    <w:p w14:paraId="6D33D553" w14:textId="77777777" w:rsidR="003E20DF" w:rsidRDefault="003E20DF"/>
    <w:p w14:paraId="788BD1CD" w14:textId="77777777" w:rsidR="003E20DF" w:rsidRDefault="00F01A5C">
      <w:pPr>
        <w:keepNext/>
        <w:spacing w:line="240" w:lineRule="auto"/>
        <w:jc w:val="center"/>
      </w:pPr>
      <w:r>
        <w:rPr>
          <w:sz w:val="28"/>
        </w:rPr>
        <w:t>Bilješka 94.</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20DF" w14:paraId="295C7F79" w14:textId="77777777">
        <w:trPr>
          <w:cantSplit/>
        </w:trPr>
        <w:tc>
          <w:tcPr>
            <w:tcW w:w="700" w:type="dxa"/>
            <w:shd w:val="clear" w:color="auto" w:fill="E7F0F9"/>
            <w:tcMar>
              <w:top w:w="0" w:type="dxa"/>
              <w:bottom w:w="0" w:type="dxa"/>
            </w:tcMar>
            <w:vAlign w:val="center"/>
          </w:tcPr>
          <w:p w14:paraId="26FCA108" w14:textId="77777777" w:rsidR="003E20DF" w:rsidRDefault="00F01A5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4BA779D" w14:textId="77777777" w:rsidR="003E20DF" w:rsidRDefault="00F01A5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08B955B" w14:textId="77777777" w:rsidR="003E20DF" w:rsidRDefault="00F01A5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5ED9D4C" w14:textId="77777777" w:rsidR="003E20DF" w:rsidRDefault="00F01A5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7B85343" w14:textId="77777777" w:rsidR="003E20DF" w:rsidRDefault="00F01A5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55F0557" w14:textId="77777777" w:rsidR="003E20DF" w:rsidRDefault="00F01A5C">
            <w:pPr>
              <w:keepNext/>
              <w:keepLines/>
              <w:spacing w:after="0" w:line="240" w:lineRule="auto"/>
              <w:jc w:val="center"/>
            </w:pPr>
            <w:r>
              <w:rPr>
                <w:b/>
                <w:sz w:val="18"/>
              </w:rPr>
              <w:t>Indeks (%)</w:t>
            </w:r>
          </w:p>
        </w:tc>
      </w:tr>
      <w:tr w:rsidR="003E20DF" w14:paraId="08EF9821" w14:textId="77777777">
        <w:trPr>
          <w:cantSplit/>
          <w:trHeight w:val="560"/>
        </w:trPr>
        <w:tc>
          <w:tcPr>
            <w:tcW w:w="700" w:type="dxa"/>
            <w:tcMar>
              <w:top w:w="0" w:type="dxa"/>
              <w:bottom w:w="0" w:type="dxa"/>
            </w:tcMar>
            <w:vAlign w:val="center"/>
          </w:tcPr>
          <w:p w14:paraId="5C930685" w14:textId="77777777" w:rsidR="003E20DF" w:rsidRDefault="00F01A5C">
            <w:pPr>
              <w:keepNext/>
              <w:keepLines/>
              <w:spacing w:after="0" w:line="240" w:lineRule="auto"/>
            </w:pPr>
            <w:r>
              <w:rPr>
                <w:sz w:val="18"/>
              </w:rPr>
              <w:t>0112</w:t>
            </w:r>
          </w:p>
        </w:tc>
        <w:tc>
          <w:tcPr>
            <w:tcW w:w="3180" w:type="dxa"/>
            <w:tcMar>
              <w:top w:w="0" w:type="dxa"/>
              <w:bottom w:w="0" w:type="dxa"/>
            </w:tcMar>
            <w:vAlign w:val="center"/>
          </w:tcPr>
          <w:p w14:paraId="0F6DF3B0" w14:textId="77777777" w:rsidR="003E20DF" w:rsidRDefault="00F01A5C">
            <w:pPr>
              <w:keepNext/>
              <w:keepLines/>
              <w:spacing w:after="0" w:line="240" w:lineRule="auto"/>
            </w:pPr>
            <w:r>
              <w:rPr>
                <w:sz w:val="18"/>
              </w:rPr>
              <w:t>Financijski i fiskalni poslovi</w:t>
            </w:r>
          </w:p>
        </w:tc>
        <w:tc>
          <w:tcPr>
            <w:tcW w:w="700" w:type="dxa"/>
            <w:tcMar>
              <w:top w:w="0" w:type="dxa"/>
              <w:bottom w:w="0" w:type="dxa"/>
            </w:tcMar>
            <w:vAlign w:val="center"/>
          </w:tcPr>
          <w:p w14:paraId="082A5279" w14:textId="77777777" w:rsidR="003E20DF" w:rsidRDefault="00F01A5C">
            <w:pPr>
              <w:keepNext/>
              <w:keepLines/>
              <w:spacing w:after="0" w:line="240" w:lineRule="auto"/>
            </w:pPr>
            <w:r>
              <w:rPr>
                <w:sz w:val="18"/>
              </w:rPr>
              <w:t>0112</w:t>
            </w:r>
          </w:p>
        </w:tc>
        <w:tc>
          <w:tcPr>
            <w:tcW w:w="1860" w:type="dxa"/>
            <w:tcMar>
              <w:top w:w="0" w:type="dxa"/>
              <w:bottom w:w="0" w:type="dxa"/>
            </w:tcMar>
            <w:vAlign w:val="center"/>
          </w:tcPr>
          <w:p w14:paraId="5AAAB3E3" w14:textId="77777777" w:rsidR="003E20DF" w:rsidRDefault="00F01A5C">
            <w:pPr>
              <w:keepNext/>
              <w:keepLines/>
              <w:spacing w:after="0" w:line="240" w:lineRule="auto"/>
              <w:jc w:val="right"/>
            </w:pPr>
            <w:r>
              <w:rPr>
                <w:sz w:val="18"/>
              </w:rPr>
              <w:t>1.878.119,33</w:t>
            </w:r>
          </w:p>
        </w:tc>
        <w:tc>
          <w:tcPr>
            <w:tcW w:w="1860" w:type="dxa"/>
            <w:tcMar>
              <w:top w:w="0" w:type="dxa"/>
              <w:bottom w:w="0" w:type="dxa"/>
            </w:tcMar>
            <w:vAlign w:val="center"/>
          </w:tcPr>
          <w:p w14:paraId="61C3F3B0" w14:textId="77777777" w:rsidR="003E20DF" w:rsidRDefault="00F01A5C">
            <w:pPr>
              <w:keepNext/>
              <w:keepLines/>
              <w:spacing w:after="0" w:line="240" w:lineRule="auto"/>
              <w:jc w:val="right"/>
            </w:pPr>
            <w:r>
              <w:rPr>
                <w:sz w:val="18"/>
              </w:rPr>
              <w:t>2.109.916,69</w:t>
            </w:r>
          </w:p>
        </w:tc>
        <w:tc>
          <w:tcPr>
            <w:tcW w:w="700" w:type="dxa"/>
            <w:tcMar>
              <w:top w:w="0" w:type="dxa"/>
              <w:bottom w:w="0" w:type="dxa"/>
            </w:tcMar>
            <w:vAlign w:val="center"/>
          </w:tcPr>
          <w:p w14:paraId="35689A2E" w14:textId="77777777" w:rsidR="003E20DF" w:rsidRDefault="00F01A5C">
            <w:pPr>
              <w:keepNext/>
              <w:keepLines/>
              <w:spacing w:after="0" w:line="240" w:lineRule="auto"/>
              <w:jc w:val="right"/>
            </w:pPr>
            <w:r>
              <w:rPr>
                <w:sz w:val="18"/>
              </w:rPr>
              <w:t>112,3</w:t>
            </w:r>
          </w:p>
        </w:tc>
      </w:tr>
    </w:tbl>
    <w:p w14:paraId="6AABCD0D" w14:textId="77777777" w:rsidR="003E20DF" w:rsidRDefault="003E20DF">
      <w:pPr>
        <w:spacing w:after="0"/>
      </w:pPr>
    </w:p>
    <w:p w14:paraId="5BE66C39" w14:textId="77777777" w:rsidR="003E20DF" w:rsidRDefault="00F01A5C" w:rsidP="00E72F6C">
      <w:pPr>
        <w:ind w:firstLine="708"/>
        <w:jc w:val="both"/>
      </w:pPr>
      <w:r>
        <w:t>Financijski i fiskalni poslovi – iskazano povećanje vezano je za troškove financijskog poslovanja  te otplata po dugoročnom kreditu društva Vodovod-Osijek d.o.o. za izgradnju pročišćivača otpadnih voda, za koje je Grad dao jamstvo i osigurao sredstva za otplatu.</w:t>
      </w:r>
    </w:p>
    <w:p w14:paraId="31D2B441" w14:textId="77777777" w:rsidR="003E20DF" w:rsidRDefault="003E20DF"/>
    <w:p w14:paraId="7B59EA84" w14:textId="77777777" w:rsidR="003E20DF" w:rsidRDefault="00F01A5C">
      <w:pPr>
        <w:keepNext/>
        <w:spacing w:line="240" w:lineRule="auto"/>
        <w:jc w:val="center"/>
      </w:pPr>
      <w:r>
        <w:rPr>
          <w:sz w:val="28"/>
        </w:rPr>
        <w:t>Bilješka 95.</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20DF" w14:paraId="4713F14D" w14:textId="77777777">
        <w:trPr>
          <w:cantSplit/>
        </w:trPr>
        <w:tc>
          <w:tcPr>
            <w:tcW w:w="700" w:type="dxa"/>
            <w:shd w:val="clear" w:color="auto" w:fill="E7F0F9"/>
            <w:tcMar>
              <w:top w:w="0" w:type="dxa"/>
              <w:bottom w:w="0" w:type="dxa"/>
            </w:tcMar>
            <w:vAlign w:val="center"/>
          </w:tcPr>
          <w:p w14:paraId="4386C00A" w14:textId="77777777" w:rsidR="003E20DF" w:rsidRDefault="00F01A5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38223AA" w14:textId="77777777" w:rsidR="003E20DF" w:rsidRDefault="00F01A5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29EF70A" w14:textId="77777777" w:rsidR="003E20DF" w:rsidRDefault="00F01A5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7782302" w14:textId="77777777" w:rsidR="003E20DF" w:rsidRDefault="00F01A5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6E3DE8B" w14:textId="77777777" w:rsidR="003E20DF" w:rsidRDefault="00F01A5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EDD33AB" w14:textId="77777777" w:rsidR="003E20DF" w:rsidRDefault="00F01A5C">
            <w:pPr>
              <w:keepNext/>
              <w:keepLines/>
              <w:spacing w:after="0" w:line="240" w:lineRule="auto"/>
              <w:jc w:val="center"/>
            </w:pPr>
            <w:r>
              <w:rPr>
                <w:b/>
                <w:sz w:val="18"/>
              </w:rPr>
              <w:t>Indeks (%)</w:t>
            </w:r>
          </w:p>
        </w:tc>
      </w:tr>
      <w:tr w:rsidR="003E20DF" w14:paraId="50A3B24F" w14:textId="77777777">
        <w:trPr>
          <w:cantSplit/>
          <w:trHeight w:val="560"/>
        </w:trPr>
        <w:tc>
          <w:tcPr>
            <w:tcW w:w="700" w:type="dxa"/>
            <w:tcMar>
              <w:top w:w="0" w:type="dxa"/>
              <w:bottom w:w="0" w:type="dxa"/>
            </w:tcMar>
            <w:vAlign w:val="center"/>
          </w:tcPr>
          <w:p w14:paraId="631CEA11" w14:textId="77777777" w:rsidR="003E20DF" w:rsidRDefault="00F01A5C">
            <w:pPr>
              <w:keepNext/>
              <w:keepLines/>
              <w:spacing w:after="0" w:line="240" w:lineRule="auto"/>
            </w:pPr>
            <w:r>
              <w:rPr>
                <w:sz w:val="18"/>
              </w:rPr>
              <w:t>0133</w:t>
            </w:r>
          </w:p>
        </w:tc>
        <w:tc>
          <w:tcPr>
            <w:tcW w:w="3180" w:type="dxa"/>
            <w:tcMar>
              <w:top w:w="0" w:type="dxa"/>
              <w:bottom w:w="0" w:type="dxa"/>
            </w:tcMar>
            <w:vAlign w:val="center"/>
          </w:tcPr>
          <w:p w14:paraId="674C78DF" w14:textId="77777777" w:rsidR="003E20DF" w:rsidRDefault="00F01A5C">
            <w:pPr>
              <w:keepNext/>
              <w:keepLines/>
              <w:spacing w:after="0" w:line="240" w:lineRule="auto"/>
            </w:pPr>
            <w:r>
              <w:rPr>
                <w:sz w:val="18"/>
              </w:rPr>
              <w:t>Ostale opće usluge</w:t>
            </w:r>
          </w:p>
        </w:tc>
        <w:tc>
          <w:tcPr>
            <w:tcW w:w="700" w:type="dxa"/>
            <w:tcMar>
              <w:top w:w="0" w:type="dxa"/>
              <w:bottom w:w="0" w:type="dxa"/>
            </w:tcMar>
            <w:vAlign w:val="center"/>
          </w:tcPr>
          <w:p w14:paraId="7BC5F606" w14:textId="77777777" w:rsidR="003E20DF" w:rsidRDefault="00F01A5C">
            <w:pPr>
              <w:keepNext/>
              <w:keepLines/>
              <w:spacing w:after="0" w:line="240" w:lineRule="auto"/>
            </w:pPr>
            <w:r>
              <w:rPr>
                <w:sz w:val="18"/>
              </w:rPr>
              <w:t>0133</w:t>
            </w:r>
          </w:p>
        </w:tc>
        <w:tc>
          <w:tcPr>
            <w:tcW w:w="1860" w:type="dxa"/>
            <w:tcMar>
              <w:top w:w="0" w:type="dxa"/>
              <w:bottom w:w="0" w:type="dxa"/>
            </w:tcMar>
            <w:vAlign w:val="center"/>
          </w:tcPr>
          <w:p w14:paraId="747C3D69" w14:textId="77777777" w:rsidR="003E20DF" w:rsidRDefault="00F01A5C">
            <w:pPr>
              <w:keepNext/>
              <w:keepLines/>
              <w:spacing w:after="0" w:line="240" w:lineRule="auto"/>
              <w:jc w:val="right"/>
            </w:pPr>
            <w:r>
              <w:rPr>
                <w:sz w:val="18"/>
              </w:rPr>
              <w:t>4.499.908,78</w:t>
            </w:r>
          </w:p>
        </w:tc>
        <w:tc>
          <w:tcPr>
            <w:tcW w:w="1860" w:type="dxa"/>
            <w:tcMar>
              <w:top w:w="0" w:type="dxa"/>
              <w:bottom w:w="0" w:type="dxa"/>
            </w:tcMar>
            <w:vAlign w:val="center"/>
          </w:tcPr>
          <w:p w14:paraId="5D4CE173" w14:textId="77777777" w:rsidR="003E20DF" w:rsidRDefault="00F01A5C">
            <w:pPr>
              <w:keepNext/>
              <w:keepLines/>
              <w:spacing w:after="0" w:line="240" w:lineRule="auto"/>
              <w:jc w:val="right"/>
            </w:pPr>
            <w:r>
              <w:rPr>
                <w:sz w:val="18"/>
              </w:rPr>
              <w:t>7.231.599,53</w:t>
            </w:r>
          </w:p>
        </w:tc>
        <w:tc>
          <w:tcPr>
            <w:tcW w:w="700" w:type="dxa"/>
            <w:tcMar>
              <w:top w:w="0" w:type="dxa"/>
              <w:bottom w:w="0" w:type="dxa"/>
            </w:tcMar>
            <w:vAlign w:val="center"/>
          </w:tcPr>
          <w:p w14:paraId="6971DFCD" w14:textId="77777777" w:rsidR="003E20DF" w:rsidRDefault="00F01A5C">
            <w:pPr>
              <w:keepNext/>
              <w:keepLines/>
              <w:spacing w:after="0" w:line="240" w:lineRule="auto"/>
              <w:jc w:val="right"/>
            </w:pPr>
            <w:r>
              <w:rPr>
                <w:sz w:val="18"/>
              </w:rPr>
              <w:t>160,7</w:t>
            </w:r>
          </w:p>
        </w:tc>
      </w:tr>
    </w:tbl>
    <w:p w14:paraId="32FC5DB0" w14:textId="77777777" w:rsidR="003E20DF" w:rsidRDefault="003E20DF">
      <w:pPr>
        <w:spacing w:after="0"/>
      </w:pPr>
    </w:p>
    <w:p w14:paraId="16A2EC60" w14:textId="77777777" w:rsidR="003E20DF" w:rsidRDefault="00F01A5C" w:rsidP="005C74B6">
      <w:pPr>
        <w:jc w:val="both"/>
      </w:pPr>
      <w:r>
        <w:t>Ostale opće usluge -iskazano povećanje vezano je za rast rashoda za energente, poštarine i druge administrativne usluge, usluge promidžbe i informiranja te izvršenih ulaganja u objekte Grada.</w:t>
      </w:r>
    </w:p>
    <w:p w14:paraId="0352E4A3" w14:textId="77777777" w:rsidR="003E20DF" w:rsidRDefault="003E20DF"/>
    <w:p w14:paraId="1E19F8D0" w14:textId="77777777" w:rsidR="003E20DF" w:rsidRDefault="00F01A5C">
      <w:pPr>
        <w:keepNext/>
        <w:spacing w:line="240" w:lineRule="auto"/>
        <w:jc w:val="center"/>
      </w:pPr>
      <w:r>
        <w:rPr>
          <w:sz w:val="28"/>
        </w:rPr>
        <w:lastRenderedPageBreak/>
        <w:t>Bilješka 96.</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20DF" w14:paraId="791441F8" w14:textId="77777777">
        <w:trPr>
          <w:cantSplit/>
        </w:trPr>
        <w:tc>
          <w:tcPr>
            <w:tcW w:w="700" w:type="dxa"/>
            <w:shd w:val="clear" w:color="auto" w:fill="E7F0F9"/>
            <w:tcMar>
              <w:top w:w="0" w:type="dxa"/>
              <w:bottom w:w="0" w:type="dxa"/>
            </w:tcMar>
            <w:vAlign w:val="center"/>
          </w:tcPr>
          <w:p w14:paraId="656B14DC" w14:textId="77777777" w:rsidR="003E20DF" w:rsidRDefault="00F01A5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80C2FD6" w14:textId="77777777" w:rsidR="003E20DF" w:rsidRDefault="00F01A5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693FE81" w14:textId="77777777" w:rsidR="003E20DF" w:rsidRDefault="00F01A5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6978BEE" w14:textId="77777777" w:rsidR="003E20DF" w:rsidRDefault="00F01A5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EE006FA" w14:textId="77777777" w:rsidR="003E20DF" w:rsidRDefault="00F01A5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3784C4F" w14:textId="77777777" w:rsidR="003E20DF" w:rsidRDefault="00F01A5C">
            <w:pPr>
              <w:keepNext/>
              <w:keepLines/>
              <w:spacing w:after="0" w:line="240" w:lineRule="auto"/>
              <w:jc w:val="center"/>
            </w:pPr>
            <w:r>
              <w:rPr>
                <w:b/>
                <w:sz w:val="18"/>
              </w:rPr>
              <w:t>Indeks (%)</w:t>
            </w:r>
          </w:p>
        </w:tc>
      </w:tr>
      <w:tr w:rsidR="003E20DF" w14:paraId="5BFD0F79" w14:textId="77777777">
        <w:trPr>
          <w:cantSplit/>
          <w:trHeight w:val="560"/>
        </w:trPr>
        <w:tc>
          <w:tcPr>
            <w:tcW w:w="700" w:type="dxa"/>
            <w:tcMar>
              <w:top w:w="0" w:type="dxa"/>
              <w:bottom w:w="0" w:type="dxa"/>
            </w:tcMar>
            <w:vAlign w:val="center"/>
          </w:tcPr>
          <w:p w14:paraId="1933CE0B" w14:textId="77777777" w:rsidR="003E20DF" w:rsidRDefault="00F01A5C">
            <w:pPr>
              <w:keepNext/>
              <w:keepLines/>
              <w:spacing w:after="0" w:line="240" w:lineRule="auto"/>
            </w:pPr>
            <w:r>
              <w:rPr>
                <w:sz w:val="18"/>
              </w:rPr>
              <w:t>032</w:t>
            </w:r>
          </w:p>
        </w:tc>
        <w:tc>
          <w:tcPr>
            <w:tcW w:w="3180" w:type="dxa"/>
            <w:tcMar>
              <w:top w:w="0" w:type="dxa"/>
              <w:bottom w:w="0" w:type="dxa"/>
            </w:tcMar>
            <w:vAlign w:val="center"/>
          </w:tcPr>
          <w:p w14:paraId="737434B7" w14:textId="77777777" w:rsidR="003E20DF" w:rsidRDefault="00F01A5C">
            <w:pPr>
              <w:keepNext/>
              <w:keepLines/>
              <w:spacing w:after="0" w:line="240" w:lineRule="auto"/>
            </w:pPr>
            <w:r>
              <w:rPr>
                <w:sz w:val="18"/>
              </w:rPr>
              <w:t>Usluge protupožarne zaštite</w:t>
            </w:r>
          </w:p>
        </w:tc>
        <w:tc>
          <w:tcPr>
            <w:tcW w:w="700" w:type="dxa"/>
            <w:tcMar>
              <w:top w:w="0" w:type="dxa"/>
              <w:bottom w:w="0" w:type="dxa"/>
            </w:tcMar>
            <w:vAlign w:val="center"/>
          </w:tcPr>
          <w:p w14:paraId="4C173D93" w14:textId="77777777" w:rsidR="003E20DF" w:rsidRDefault="00F01A5C">
            <w:pPr>
              <w:keepNext/>
              <w:keepLines/>
              <w:spacing w:after="0" w:line="240" w:lineRule="auto"/>
            </w:pPr>
            <w:r>
              <w:rPr>
                <w:sz w:val="18"/>
              </w:rPr>
              <w:t>032</w:t>
            </w:r>
          </w:p>
        </w:tc>
        <w:tc>
          <w:tcPr>
            <w:tcW w:w="1860" w:type="dxa"/>
            <w:tcMar>
              <w:top w:w="0" w:type="dxa"/>
              <w:bottom w:w="0" w:type="dxa"/>
            </w:tcMar>
            <w:vAlign w:val="center"/>
          </w:tcPr>
          <w:p w14:paraId="32A21C3A" w14:textId="77777777" w:rsidR="003E20DF" w:rsidRDefault="00F01A5C">
            <w:pPr>
              <w:keepNext/>
              <w:keepLines/>
              <w:spacing w:after="0" w:line="240" w:lineRule="auto"/>
              <w:jc w:val="right"/>
            </w:pPr>
            <w:r>
              <w:rPr>
                <w:sz w:val="18"/>
              </w:rPr>
              <w:t>468.201,74</w:t>
            </w:r>
          </w:p>
        </w:tc>
        <w:tc>
          <w:tcPr>
            <w:tcW w:w="1860" w:type="dxa"/>
            <w:tcMar>
              <w:top w:w="0" w:type="dxa"/>
              <w:bottom w:w="0" w:type="dxa"/>
            </w:tcMar>
            <w:vAlign w:val="center"/>
          </w:tcPr>
          <w:p w14:paraId="10219F29" w14:textId="77777777" w:rsidR="003E20DF" w:rsidRDefault="00F01A5C">
            <w:pPr>
              <w:keepNext/>
              <w:keepLines/>
              <w:spacing w:after="0" w:line="240" w:lineRule="auto"/>
              <w:jc w:val="right"/>
            </w:pPr>
            <w:r>
              <w:rPr>
                <w:sz w:val="18"/>
              </w:rPr>
              <w:t>932.544,61</w:t>
            </w:r>
          </w:p>
        </w:tc>
        <w:tc>
          <w:tcPr>
            <w:tcW w:w="700" w:type="dxa"/>
            <w:tcMar>
              <w:top w:w="0" w:type="dxa"/>
              <w:bottom w:w="0" w:type="dxa"/>
            </w:tcMar>
            <w:vAlign w:val="center"/>
          </w:tcPr>
          <w:p w14:paraId="74E3A34F" w14:textId="77777777" w:rsidR="003E20DF" w:rsidRDefault="00F01A5C">
            <w:pPr>
              <w:keepNext/>
              <w:keepLines/>
              <w:spacing w:after="0" w:line="240" w:lineRule="auto"/>
              <w:jc w:val="right"/>
            </w:pPr>
            <w:r>
              <w:rPr>
                <w:sz w:val="18"/>
              </w:rPr>
              <w:t>199,2</w:t>
            </w:r>
          </w:p>
        </w:tc>
      </w:tr>
    </w:tbl>
    <w:p w14:paraId="164785E0" w14:textId="77777777" w:rsidR="003E20DF" w:rsidRDefault="003E20DF">
      <w:pPr>
        <w:spacing w:after="0"/>
      </w:pPr>
    </w:p>
    <w:p w14:paraId="50E7B1F3" w14:textId="77777777" w:rsidR="003E20DF" w:rsidRDefault="00F01A5C" w:rsidP="00E72F6C">
      <w:pPr>
        <w:ind w:firstLine="708"/>
        <w:jc w:val="both"/>
      </w:pPr>
      <w:r>
        <w:t>Usluge protupožarne zaštite – iskazani rast je vezan za usklađenje zakonskog izdvajanja za financiranje Vatrogasne zajednice, odnosno dobrovoljnih vatrogasnih društava sukladno zakonskim propisima te izvršenih ulaganja u energetsku obnovu objekta JVP Osijek.</w:t>
      </w:r>
    </w:p>
    <w:p w14:paraId="63A28D5E" w14:textId="77777777" w:rsidR="003E20DF" w:rsidRDefault="003E20DF"/>
    <w:p w14:paraId="6E164409" w14:textId="77777777" w:rsidR="003E20DF" w:rsidRDefault="00F01A5C">
      <w:pPr>
        <w:keepNext/>
        <w:spacing w:line="240" w:lineRule="auto"/>
        <w:jc w:val="center"/>
      </w:pPr>
      <w:r>
        <w:rPr>
          <w:sz w:val="28"/>
        </w:rPr>
        <w:t>Bilješka 97.</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20DF" w14:paraId="5D68B94E" w14:textId="77777777">
        <w:trPr>
          <w:cantSplit/>
        </w:trPr>
        <w:tc>
          <w:tcPr>
            <w:tcW w:w="700" w:type="dxa"/>
            <w:shd w:val="clear" w:color="auto" w:fill="E7F0F9"/>
            <w:tcMar>
              <w:top w:w="0" w:type="dxa"/>
              <w:bottom w:w="0" w:type="dxa"/>
            </w:tcMar>
            <w:vAlign w:val="center"/>
          </w:tcPr>
          <w:p w14:paraId="673CF4E5" w14:textId="77777777" w:rsidR="003E20DF" w:rsidRDefault="00F01A5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88BD720" w14:textId="77777777" w:rsidR="003E20DF" w:rsidRDefault="00F01A5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7C8A99D" w14:textId="77777777" w:rsidR="003E20DF" w:rsidRDefault="00F01A5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81FAE5A" w14:textId="77777777" w:rsidR="003E20DF" w:rsidRDefault="00F01A5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2705CA8" w14:textId="77777777" w:rsidR="003E20DF" w:rsidRDefault="00F01A5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B9F6814" w14:textId="77777777" w:rsidR="003E20DF" w:rsidRDefault="00F01A5C">
            <w:pPr>
              <w:keepNext/>
              <w:keepLines/>
              <w:spacing w:after="0" w:line="240" w:lineRule="auto"/>
              <w:jc w:val="center"/>
            </w:pPr>
            <w:r>
              <w:rPr>
                <w:b/>
                <w:sz w:val="18"/>
              </w:rPr>
              <w:t>Indeks (%)</w:t>
            </w:r>
          </w:p>
        </w:tc>
      </w:tr>
      <w:tr w:rsidR="003E20DF" w14:paraId="58AD683E" w14:textId="77777777">
        <w:trPr>
          <w:cantSplit/>
          <w:trHeight w:val="560"/>
        </w:trPr>
        <w:tc>
          <w:tcPr>
            <w:tcW w:w="700" w:type="dxa"/>
            <w:tcMar>
              <w:top w:w="0" w:type="dxa"/>
              <w:bottom w:w="0" w:type="dxa"/>
            </w:tcMar>
            <w:vAlign w:val="center"/>
          </w:tcPr>
          <w:p w14:paraId="1599D0DC" w14:textId="77777777" w:rsidR="003E20DF" w:rsidRDefault="00F01A5C">
            <w:pPr>
              <w:keepNext/>
              <w:keepLines/>
              <w:spacing w:after="0" w:line="240" w:lineRule="auto"/>
            </w:pPr>
            <w:r>
              <w:rPr>
                <w:sz w:val="18"/>
              </w:rPr>
              <w:t>0411</w:t>
            </w:r>
          </w:p>
        </w:tc>
        <w:tc>
          <w:tcPr>
            <w:tcW w:w="3180" w:type="dxa"/>
            <w:tcMar>
              <w:top w:w="0" w:type="dxa"/>
              <w:bottom w:w="0" w:type="dxa"/>
            </w:tcMar>
            <w:vAlign w:val="center"/>
          </w:tcPr>
          <w:p w14:paraId="48EE5480" w14:textId="77777777" w:rsidR="003E20DF" w:rsidRDefault="00F01A5C">
            <w:pPr>
              <w:keepNext/>
              <w:keepLines/>
              <w:spacing w:after="0" w:line="240" w:lineRule="auto"/>
            </w:pPr>
            <w:r>
              <w:rPr>
                <w:sz w:val="18"/>
              </w:rPr>
              <w:t>Opći ekonomski i trgovački poslovi</w:t>
            </w:r>
          </w:p>
        </w:tc>
        <w:tc>
          <w:tcPr>
            <w:tcW w:w="700" w:type="dxa"/>
            <w:tcMar>
              <w:top w:w="0" w:type="dxa"/>
              <w:bottom w:w="0" w:type="dxa"/>
            </w:tcMar>
            <w:vAlign w:val="center"/>
          </w:tcPr>
          <w:p w14:paraId="7A2C7E66" w14:textId="77777777" w:rsidR="003E20DF" w:rsidRDefault="00F01A5C">
            <w:pPr>
              <w:keepNext/>
              <w:keepLines/>
              <w:spacing w:after="0" w:line="240" w:lineRule="auto"/>
            </w:pPr>
            <w:r>
              <w:rPr>
                <w:sz w:val="18"/>
              </w:rPr>
              <w:t>0411</w:t>
            </w:r>
          </w:p>
        </w:tc>
        <w:tc>
          <w:tcPr>
            <w:tcW w:w="1860" w:type="dxa"/>
            <w:tcMar>
              <w:top w:w="0" w:type="dxa"/>
              <w:bottom w:w="0" w:type="dxa"/>
            </w:tcMar>
            <w:vAlign w:val="center"/>
          </w:tcPr>
          <w:p w14:paraId="17FA0F56" w14:textId="77777777" w:rsidR="003E20DF" w:rsidRDefault="00F01A5C">
            <w:pPr>
              <w:keepNext/>
              <w:keepLines/>
              <w:spacing w:after="0" w:line="240" w:lineRule="auto"/>
              <w:jc w:val="right"/>
            </w:pPr>
            <w:r>
              <w:rPr>
                <w:sz w:val="18"/>
              </w:rPr>
              <w:t>1.468.437,24</w:t>
            </w:r>
          </w:p>
        </w:tc>
        <w:tc>
          <w:tcPr>
            <w:tcW w:w="1860" w:type="dxa"/>
            <w:tcMar>
              <w:top w:w="0" w:type="dxa"/>
              <w:bottom w:w="0" w:type="dxa"/>
            </w:tcMar>
            <w:vAlign w:val="center"/>
          </w:tcPr>
          <w:p w14:paraId="6F2B0884" w14:textId="77777777" w:rsidR="003E20DF" w:rsidRDefault="00F01A5C">
            <w:pPr>
              <w:keepNext/>
              <w:keepLines/>
              <w:spacing w:after="0" w:line="240" w:lineRule="auto"/>
              <w:jc w:val="right"/>
            </w:pPr>
            <w:r>
              <w:rPr>
                <w:sz w:val="18"/>
              </w:rPr>
              <w:t>1.616.880,62</w:t>
            </w:r>
          </w:p>
        </w:tc>
        <w:tc>
          <w:tcPr>
            <w:tcW w:w="700" w:type="dxa"/>
            <w:tcMar>
              <w:top w:w="0" w:type="dxa"/>
              <w:bottom w:w="0" w:type="dxa"/>
            </w:tcMar>
            <w:vAlign w:val="center"/>
          </w:tcPr>
          <w:p w14:paraId="60F2AB95" w14:textId="77777777" w:rsidR="003E20DF" w:rsidRDefault="00F01A5C">
            <w:pPr>
              <w:keepNext/>
              <w:keepLines/>
              <w:spacing w:after="0" w:line="240" w:lineRule="auto"/>
              <w:jc w:val="right"/>
            </w:pPr>
            <w:r>
              <w:rPr>
                <w:sz w:val="18"/>
              </w:rPr>
              <w:t>110,1</w:t>
            </w:r>
          </w:p>
        </w:tc>
      </w:tr>
    </w:tbl>
    <w:p w14:paraId="0F84E8B2" w14:textId="77777777" w:rsidR="003E20DF" w:rsidRDefault="003E20DF">
      <w:pPr>
        <w:spacing w:after="0"/>
      </w:pPr>
    </w:p>
    <w:p w14:paraId="78DFA3CA" w14:textId="77777777" w:rsidR="003E20DF" w:rsidRDefault="00F01A5C" w:rsidP="00E72F6C">
      <w:pPr>
        <w:ind w:firstLine="708"/>
        <w:jc w:val="both"/>
      </w:pPr>
      <w:r>
        <w:t>Opći ekonomski i trgovački poslovi-iskazani rast vezan je za povećanje izdvajanja za unaprjeđenje poduzetništva u gradu Osijeku, subvenciju kamata po stambenim kreditima, poticanje turizma i dr.</w:t>
      </w:r>
    </w:p>
    <w:p w14:paraId="369B8640" w14:textId="77777777" w:rsidR="003E20DF" w:rsidRDefault="003E20DF"/>
    <w:p w14:paraId="077A277C" w14:textId="77777777" w:rsidR="003E20DF" w:rsidRDefault="00F01A5C">
      <w:pPr>
        <w:keepNext/>
        <w:spacing w:line="240" w:lineRule="auto"/>
        <w:jc w:val="center"/>
      </w:pPr>
      <w:r>
        <w:rPr>
          <w:sz w:val="28"/>
        </w:rPr>
        <w:t>Bilješka 98.</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20DF" w14:paraId="3E89520D" w14:textId="77777777">
        <w:trPr>
          <w:cantSplit/>
        </w:trPr>
        <w:tc>
          <w:tcPr>
            <w:tcW w:w="700" w:type="dxa"/>
            <w:shd w:val="clear" w:color="auto" w:fill="E7F0F9"/>
            <w:tcMar>
              <w:top w:w="0" w:type="dxa"/>
              <w:bottom w:w="0" w:type="dxa"/>
            </w:tcMar>
            <w:vAlign w:val="center"/>
          </w:tcPr>
          <w:p w14:paraId="7449788A" w14:textId="77777777" w:rsidR="003E20DF" w:rsidRDefault="00F01A5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1A244B0" w14:textId="77777777" w:rsidR="003E20DF" w:rsidRDefault="00F01A5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931E5D6" w14:textId="77777777" w:rsidR="003E20DF" w:rsidRDefault="00F01A5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A4B0AAC" w14:textId="77777777" w:rsidR="003E20DF" w:rsidRDefault="00F01A5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BE550B7" w14:textId="77777777" w:rsidR="003E20DF" w:rsidRDefault="00F01A5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75622FE" w14:textId="77777777" w:rsidR="003E20DF" w:rsidRDefault="00F01A5C">
            <w:pPr>
              <w:keepNext/>
              <w:keepLines/>
              <w:spacing w:after="0" w:line="240" w:lineRule="auto"/>
              <w:jc w:val="center"/>
            </w:pPr>
            <w:r>
              <w:rPr>
                <w:b/>
                <w:sz w:val="18"/>
              </w:rPr>
              <w:t>Indeks (%)</w:t>
            </w:r>
          </w:p>
        </w:tc>
      </w:tr>
      <w:tr w:rsidR="003E20DF" w14:paraId="0F301AA4" w14:textId="77777777">
        <w:trPr>
          <w:cantSplit/>
          <w:trHeight w:val="560"/>
        </w:trPr>
        <w:tc>
          <w:tcPr>
            <w:tcW w:w="700" w:type="dxa"/>
            <w:tcMar>
              <w:top w:w="0" w:type="dxa"/>
              <w:bottom w:w="0" w:type="dxa"/>
            </w:tcMar>
            <w:vAlign w:val="center"/>
          </w:tcPr>
          <w:p w14:paraId="351D863A" w14:textId="77777777" w:rsidR="003E20DF" w:rsidRDefault="00F01A5C">
            <w:pPr>
              <w:keepNext/>
              <w:keepLines/>
              <w:spacing w:after="0" w:line="240" w:lineRule="auto"/>
            </w:pPr>
            <w:r>
              <w:rPr>
                <w:sz w:val="18"/>
              </w:rPr>
              <w:t>0421</w:t>
            </w:r>
          </w:p>
        </w:tc>
        <w:tc>
          <w:tcPr>
            <w:tcW w:w="3180" w:type="dxa"/>
            <w:tcMar>
              <w:top w:w="0" w:type="dxa"/>
              <w:bottom w:w="0" w:type="dxa"/>
            </w:tcMar>
            <w:vAlign w:val="center"/>
          </w:tcPr>
          <w:p w14:paraId="48B3402D" w14:textId="77777777" w:rsidR="003E20DF" w:rsidRDefault="00F01A5C">
            <w:pPr>
              <w:keepNext/>
              <w:keepLines/>
              <w:spacing w:after="0" w:line="240" w:lineRule="auto"/>
            </w:pPr>
            <w:r>
              <w:rPr>
                <w:sz w:val="18"/>
              </w:rPr>
              <w:t>Poljoprivreda</w:t>
            </w:r>
          </w:p>
        </w:tc>
        <w:tc>
          <w:tcPr>
            <w:tcW w:w="700" w:type="dxa"/>
            <w:tcMar>
              <w:top w:w="0" w:type="dxa"/>
              <w:bottom w:w="0" w:type="dxa"/>
            </w:tcMar>
            <w:vAlign w:val="center"/>
          </w:tcPr>
          <w:p w14:paraId="1FB1E7C6" w14:textId="77777777" w:rsidR="003E20DF" w:rsidRDefault="00F01A5C">
            <w:pPr>
              <w:keepNext/>
              <w:keepLines/>
              <w:spacing w:after="0" w:line="240" w:lineRule="auto"/>
            </w:pPr>
            <w:r>
              <w:rPr>
                <w:sz w:val="18"/>
              </w:rPr>
              <w:t>0421</w:t>
            </w:r>
          </w:p>
        </w:tc>
        <w:tc>
          <w:tcPr>
            <w:tcW w:w="1860" w:type="dxa"/>
            <w:tcMar>
              <w:top w:w="0" w:type="dxa"/>
              <w:bottom w:w="0" w:type="dxa"/>
            </w:tcMar>
            <w:vAlign w:val="center"/>
          </w:tcPr>
          <w:p w14:paraId="07156037" w14:textId="77777777" w:rsidR="003E20DF" w:rsidRDefault="00F01A5C">
            <w:pPr>
              <w:keepNext/>
              <w:keepLines/>
              <w:spacing w:after="0" w:line="240" w:lineRule="auto"/>
              <w:jc w:val="right"/>
            </w:pPr>
            <w:r>
              <w:rPr>
                <w:sz w:val="18"/>
              </w:rPr>
              <w:t>289.499,62</w:t>
            </w:r>
          </w:p>
        </w:tc>
        <w:tc>
          <w:tcPr>
            <w:tcW w:w="1860" w:type="dxa"/>
            <w:tcMar>
              <w:top w:w="0" w:type="dxa"/>
              <w:bottom w:w="0" w:type="dxa"/>
            </w:tcMar>
            <w:vAlign w:val="center"/>
          </w:tcPr>
          <w:p w14:paraId="5A18C3D1" w14:textId="77777777" w:rsidR="003E20DF" w:rsidRDefault="00F01A5C">
            <w:pPr>
              <w:keepNext/>
              <w:keepLines/>
              <w:spacing w:after="0" w:line="240" w:lineRule="auto"/>
              <w:jc w:val="right"/>
            </w:pPr>
            <w:r>
              <w:rPr>
                <w:sz w:val="18"/>
              </w:rPr>
              <w:t>35.574,51</w:t>
            </w:r>
          </w:p>
        </w:tc>
        <w:tc>
          <w:tcPr>
            <w:tcW w:w="700" w:type="dxa"/>
            <w:tcMar>
              <w:top w:w="0" w:type="dxa"/>
              <w:bottom w:w="0" w:type="dxa"/>
            </w:tcMar>
            <w:vAlign w:val="center"/>
          </w:tcPr>
          <w:p w14:paraId="031D1EB8" w14:textId="77777777" w:rsidR="003E20DF" w:rsidRDefault="00F01A5C">
            <w:pPr>
              <w:keepNext/>
              <w:keepLines/>
              <w:spacing w:after="0" w:line="240" w:lineRule="auto"/>
              <w:jc w:val="right"/>
            </w:pPr>
            <w:r>
              <w:rPr>
                <w:sz w:val="18"/>
              </w:rPr>
              <w:t>12,3</w:t>
            </w:r>
          </w:p>
        </w:tc>
      </w:tr>
    </w:tbl>
    <w:p w14:paraId="437AB5FC" w14:textId="77777777" w:rsidR="003E20DF" w:rsidRDefault="003E20DF">
      <w:pPr>
        <w:spacing w:after="0"/>
      </w:pPr>
    </w:p>
    <w:p w14:paraId="55A45C10" w14:textId="77777777" w:rsidR="003E20DF" w:rsidRDefault="00F01A5C" w:rsidP="00E72F6C">
      <w:pPr>
        <w:ind w:firstLine="708"/>
        <w:jc w:val="both"/>
      </w:pPr>
      <w:r>
        <w:t>Poljoprivreda- značajno smanjenje u okviru ovih rashoda vezano je za troškove izgradnje otresnica za koja se sredstva prenose u sljedeću godinu.</w:t>
      </w:r>
    </w:p>
    <w:p w14:paraId="1D6CB1A6" w14:textId="77777777" w:rsidR="003E20DF" w:rsidRDefault="003E20DF"/>
    <w:p w14:paraId="6DE7ECFE" w14:textId="77777777" w:rsidR="003E20DF" w:rsidRDefault="00F01A5C">
      <w:pPr>
        <w:keepNext/>
        <w:spacing w:line="240" w:lineRule="auto"/>
        <w:jc w:val="center"/>
      </w:pPr>
      <w:r>
        <w:rPr>
          <w:sz w:val="28"/>
        </w:rPr>
        <w:t>Bilješka 99.</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20DF" w14:paraId="72558A8D" w14:textId="77777777">
        <w:trPr>
          <w:cantSplit/>
        </w:trPr>
        <w:tc>
          <w:tcPr>
            <w:tcW w:w="700" w:type="dxa"/>
            <w:shd w:val="clear" w:color="auto" w:fill="E7F0F9"/>
            <w:tcMar>
              <w:top w:w="0" w:type="dxa"/>
              <w:bottom w:w="0" w:type="dxa"/>
            </w:tcMar>
            <w:vAlign w:val="center"/>
          </w:tcPr>
          <w:p w14:paraId="757BB53F" w14:textId="77777777" w:rsidR="003E20DF" w:rsidRDefault="00F01A5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5E51E29" w14:textId="77777777" w:rsidR="003E20DF" w:rsidRDefault="00F01A5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C2D080" w14:textId="77777777" w:rsidR="003E20DF" w:rsidRDefault="00F01A5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9C5B4E4" w14:textId="77777777" w:rsidR="003E20DF" w:rsidRDefault="00F01A5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0B94202" w14:textId="77777777" w:rsidR="003E20DF" w:rsidRDefault="00F01A5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E25FC86" w14:textId="77777777" w:rsidR="003E20DF" w:rsidRDefault="00F01A5C">
            <w:pPr>
              <w:keepNext/>
              <w:keepLines/>
              <w:spacing w:after="0" w:line="240" w:lineRule="auto"/>
              <w:jc w:val="center"/>
            </w:pPr>
            <w:r>
              <w:rPr>
                <w:b/>
                <w:sz w:val="18"/>
              </w:rPr>
              <w:t>Indeks (%)</w:t>
            </w:r>
          </w:p>
        </w:tc>
      </w:tr>
      <w:tr w:rsidR="003E20DF" w14:paraId="4229ED66" w14:textId="77777777">
        <w:trPr>
          <w:cantSplit/>
          <w:trHeight w:val="560"/>
        </w:trPr>
        <w:tc>
          <w:tcPr>
            <w:tcW w:w="700" w:type="dxa"/>
            <w:tcMar>
              <w:top w:w="0" w:type="dxa"/>
              <w:bottom w:w="0" w:type="dxa"/>
            </w:tcMar>
            <w:vAlign w:val="center"/>
          </w:tcPr>
          <w:p w14:paraId="56B141C7" w14:textId="77777777" w:rsidR="003E20DF" w:rsidRDefault="00F01A5C">
            <w:pPr>
              <w:keepNext/>
              <w:keepLines/>
              <w:spacing w:after="0" w:line="240" w:lineRule="auto"/>
            </w:pPr>
            <w:r>
              <w:rPr>
                <w:sz w:val="18"/>
              </w:rPr>
              <w:t>0451</w:t>
            </w:r>
          </w:p>
        </w:tc>
        <w:tc>
          <w:tcPr>
            <w:tcW w:w="3180" w:type="dxa"/>
            <w:tcMar>
              <w:top w:w="0" w:type="dxa"/>
              <w:bottom w:w="0" w:type="dxa"/>
            </w:tcMar>
            <w:vAlign w:val="center"/>
          </w:tcPr>
          <w:p w14:paraId="69354130" w14:textId="77777777" w:rsidR="003E20DF" w:rsidRDefault="00F01A5C">
            <w:pPr>
              <w:keepNext/>
              <w:keepLines/>
              <w:spacing w:after="0" w:line="240" w:lineRule="auto"/>
            </w:pPr>
            <w:r>
              <w:rPr>
                <w:sz w:val="18"/>
              </w:rPr>
              <w:t>Cestovni promet</w:t>
            </w:r>
          </w:p>
        </w:tc>
        <w:tc>
          <w:tcPr>
            <w:tcW w:w="700" w:type="dxa"/>
            <w:tcMar>
              <w:top w:w="0" w:type="dxa"/>
              <w:bottom w:w="0" w:type="dxa"/>
            </w:tcMar>
            <w:vAlign w:val="center"/>
          </w:tcPr>
          <w:p w14:paraId="3B12BCBC" w14:textId="77777777" w:rsidR="003E20DF" w:rsidRDefault="00F01A5C">
            <w:pPr>
              <w:keepNext/>
              <w:keepLines/>
              <w:spacing w:after="0" w:line="240" w:lineRule="auto"/>
            </w:pPr>
            <w:r>
              <w:rPr>
                <w:sz w:val="18"/>
              </w:rPr>
              <w:t>0451</w:t>
            </w:r>
          </w:p>
        </w:tc>
        <w:tc>
          <w:tcPr>
            <w:tcW w:w="1860" w:type="dxa"/>
            <w:tcMar>
              <w:top w:w="0" w:type="dxa"/>
              <w:bottom w:w="0" w:type="dxa"/>
            </w:tcMar>
            <w:vAlign w:val="center"/>
          </w:tcPr>
          <w:p w14:paraId="58DF3A28" w14:textId="77777777" w:rsidR="003E20DF" w:rsidRDefault="00F01A5C">
            <w:pPr>
              <w:keepNext/>
              <w:keepLines/>
              <w:spacing w:after="0" w:line="240" w:lineRule="auto"/>
              <w:jc w:val="right"/>
            </w:pPr>
            <w:r>
              <w:rPr>
                <w:sz w:val="18"/>
              </w:rPr>
              <w:t>6.278.164,75</w:t>
            </w:r>
          </w:p>
        </w:tc>
        <w:tc>
          <w:tcPr>
            <w:tcW w:w="1860" w:type="dxa"/>
            <w:tcMar>
              <w:top w:w="0" w:type="dxa"/>
              <w:bottom w:w="0" w:type="dxa"/>
            </w:tcMar>
            <w:vAlign w:val="center"/>
          </w:tcPr>
          <w:p w14:paraId="06C703C6" w14:textId="77777777" w:rsidR="003E20DF" w:rsidRDefault="00F01A5C">
            <w:pPr>
              <w:keepNext/>
              <w:keepLines/>
              <w:spacing w:after="0" w:line="240" w:lineRule="auto"/>
              <w:jc w:val="right"/>
            </w:pPr>
            <w:r>
              <w:rPr>
                <w:sz w:val="18"/>
              </w:rPr>
              <w:t>11.460.838,50</w:t>
            </w:r>
          </w:p>
        </w:tc>
        <w:tc>
          <w:tcPr>
            <w:tcW w:w="700" w:type="dxa"/>
            <w:tcMar>
              <w:top w:w="0" w:type="dxa"/>
              <w:bottom w:w="0" w:type="dxa"/>
            </w:tcMar>
            <w:vAlign w:val="center"/>
          </w:tcPr>
          <w:p w14:paraId="1BE88458" w14:textId="77777777" w:rsidR="003E20DF" w:rsidRDefault="00F01A5C">
            <w:pPr>
              <w:keepNext/>
              <w:keepLines/>
              <w:spacing w:after="0" w:line="240" w:lineRule="auto"/>
              <w:jc w:val="right"/>
            </w:pPr>
            <w:r>
              <w:rPr>
                <w:sz w:val="18"/>
              </w:rPr>
              <w:t>182,6</w:t>
            </w:r>
          </w:p>
        </w:tc>
      </w:tr>
    </w:tbl>
    <w:p w14:paraId="5D853C31" w14:textId="77777777" w:rsidR="003E20DF" w:rsidRDefault="003E20DF">
      <w:pPr>
        <w:spacing w:after="0"/>
      </w:pPr>
    </w:p>
    <w:p w14:paraId="5B631158" w14:textId="77777777" w:rsidR="003E20DF" w:rsidRDefault="00F01A5C" w:rsidP="00E72F6C">
      <w:pPr>
        <w:ind w:firstLine="708"/>
        <w:jc w:val="both"/>
      </w:pPr>
      <w:r>
        <w:t>Cestovni promet- rashodi u okviru ove funkcijske klasifikacije veći su u odnosu na prethodno razdoblje uslijed izgradnje četiri dionice biciklističkih staza financiranih putem ITU mehanizma, kao i povećanog izdvajanja sredstava za rekonstrukciju i održavanje prometnica i javnih površina vezanih za prometnice.</w:t>
      </w:r>
    </w:p>
    <w:p w14:paraId="029D4C3E" w14:textId="77777777" w:rsidR="003E20DF" w:rsidRDefault="003E20DF"/>
    <w:p w14:paraId="67828FE2" w14:textId="77777777" w:rsidR="003E20DF" w:rsidRDefault="00F01A5C">
      <w:pPr>
        <w:keepNext/>
        <w:spacing w:line="240" w:lineRule="auto"/>
        <w:jc w:val="center"/>
      </w:pPr>
      <w:r>
        <w:rPr>
          <w:sz w:val="28"/>
        </w:rPr>
        <w:t>Bilješka 100.</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20DF" w14:paraId="628ADB10" w14:textId="77777777">
        <w:trPr>
          <w:cantSplit/>
        </w:trPr>
        <w:tc>
          <w:tcPr>
            <w:tcW w:w="700" w:type="dxa"/>
            <w:shd w:val="clear" w:color="auto" w:fill="E7F0F9"/>
            <w:tcMar>
              <w:top w:w="0" w:type="dxa"/>
              <w:bottom w:w="0" w:type="dxa"/>
            </w:tcMar>
            <w:vAlign w:val="center"/>
          </w:tcPr>
          <w:p w14:paraId="16D6B523" w14:textId="77777777" w:rsidR="003E20DF" w:rsidRDefault="00F01A5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5EFB6A3" w14:textId="77777777" w:rsidR="003E20DF" w:rsidRDefault="00F01A5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83E6A87" w14:textId="77777777" w:rsidR="003E20DF" w:rsidRDefault="00F01A5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897252" w14:textId="77777777" w:rsidR="003E20DF" w:rsidRDefault="00F01A5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CF36CE3" w14:textId="77777777" w:rsidR="003E20DF" w:rsidRDefault="00F01A5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1A503AC" w14:textId="77777777" w:rsidR="003E20DF" w:rsidRDefault="00F01A5C">
            <w:pPr>
              <w:keepNext/>
              <w:keepLines/>
              <w:spacing w:after="0" w:line="240" w:lineRule="auto"/>
              <w:jc w:val="center"/>
            </w:pPr>
            <w:r>
              <w:rPr>
                <w:b/>
                <w:sz w:val="18"/>
              </w:rPr>
              <w:t>Indeks (%)</w:t>
            </w:r>
          </w:p>
        </w:tc>
      </w:tr>
      <w:tr w:rsidR="003E20DF" w14:paraId="11E558BE" w14:textId="77777777">
        <w:trPr>
          <w:cantSplit/>
          <w:trHeight w:val="560"/>
        </w:trPr>
        <w:tc>
          <w:tcPr>
            <w:tcW w:w="700" w:type="dxa"/>
            <w:tcMar>
              <w:top w:w="0" w:type="dxa"/>
              <w:bottom w:w="0" w:type="dxa"/>
            </w:tcMar>
            <w:vAlign w:val="center"/>
          </w:tcPr>
          <w:p w14:paraId="0402DF24" w14:textId="77777777" w:rsidR="003E20DF" w:rsidRDefault="00F01A5C">
            <w:pPr>
              <w:keepNext/>
              <w:keepLines/>
              <w:spacing w:after="0" w:line="240" w:lineRule="auto"/>
            </w:pPr>
            <w:r>
              <w:rPr>
                <w:sz w:val="18"/>
              </w:rPr>
              <w:t>05</w:t>
            </w:r>
          </w:p>
        </w:tc>
        <w:tc>
          <w:tcPr>
            <w:tcW w:w="3180" w:type="dxa"/>
            <w:tcMar>
              <w:top w:w="0" w:type="dxa"/>
              <w:bottom w:w="0" w:type="dxa"/>
            </w:tcMar>
            <w:vAlign w:val="center"/>
          </w:tcPr>
          <w:p w14:paraId="7D3711E2" w14:textId="77777777" w:rsidR="003E20DF" w:rsidRDefault="00F01A5C">
            <w:pPr>
              <w:keepNext/>
              <w:keepLines/>
              <w:spacing w:after="0" w:line="240" w:lineRule="auto"/>
            </w:pPr>
            <w:r>
              <w:rPr>
                <w:sz w:val="18"/>
              </w:rPr>
              <w:t>Zaštita okoliša (šifre 051 do 056)</w:t>
            </w:r>
          </w:p>
        </w:tc>
        <w:tc>
          <w:tcPr>
            <w:tcW w:w="700" w:type="dxa"/>
            <w:tcMar>
              <w:top w:w="0" w:type="dxa"/>
              <w:bottom w:w="0" w:type="dxa"/>
            </w:tcMar>
            <w:vAlign w:val="center"/>
          </w:tcPr>
          <w:p w14:paraId="44B618F1" w14:textId="77777777" w:rsidR="003E20DF" w:rsidRDefault="00F01A5C">
            <w:pPr>
              <w:keepNext/>
              <w:keepLines/>
              <w:spacing w:after="0" w:line="240" w:lineRule="auto"/>
            </w:pPr>
            <w:r>
              <w:rPr>
                <w:sz w:val="18"/>
              </w:rPr>
              <w:t>05</w:t>
            </w:r>
          </w:p>
        </w:tc>
        <w:tc>
          <w:tcPr>
            <w:tcW w:w="1860" w:type="dxa"/>
            <w:tcMar>
              <w:top w:w="0" w:type="dxa"/>
              <w:bottom w:w="0" w:type="dxa"/>
            </w:tcMar>
            <w:vAlign w:val="center"/>
          </w:tcPr>
          <w:p w14:paraId="18E7A98C" w14:textId="77777777" w:rsidR="003E20DF" w:rsidRDefault="00F01A5C">
            <w:pPr>
              <w:keepNext/>
              <w:keepLines/>
              <w:spacing w:after="0" w:line="240" w:lineRule="auto"/>
              <w:jc w:val="right"/>
            </w:pPr>
            <w:r>
              <w:rPr>
                <w:sz w:val="18"/>
              </w:rPr>
              <w:t>1.406.535,75</w:t>
            </w:r>
          </w:p>
        </w:tc>
        <w:tc>
          <w:tcPr>
            <w:tcW w:w="1860" w:type="dxa"/>
            <w:tcMar>
              <w:top w:w="0" w:type="dxa"/>
              <w:bottom w:w="0" w:type="dxa"/>
            </w:tcMar>
            <w:vAlign w:val="center"/>
          </w:tcPr>
          <w:p w14:paraId="0A602B17" w14:textId="77777777" w:rsidR="003E20DF" w:rsidRDefault="00F01A5C">
            <w:pPr>
              <w:keepNext/>
              <w:keepLines/>
              <w:spacing w:after="0" w:line="240" w:lineRule="auto"/>
              <w:jc w:val="right"/>
            </w:pPr>
            <w:r>
              <w:rPr>
                <w:sz w:val="18"/>
              </w:rPr>
              <w:t>669.785,26</w:t>
            </w:r>
          </w:p>
        </w:tc>
        <w:tc>
          <w:tcPr>
            <w:tcW w:w="700" w:type="dxa"/>
            <w:tcMar>
              <w:top w:w="0" w:type="dxa"/>
              <w:bottom w:w="0" w:type="dxa"/>
            </w:tcMar>
            <w:vAlign w:val="center"/>
          </w:tcPr>
          <w:p w14:paraId="2661D2EB" w14:textId="77777777" w:rsidR="003E20DF" w:rsidRDefault="00F01A5C">
            <w:pPr>
              <w:keepNext/>
              <w:keepLines/>
              <w:spacing w:after="0" w:line="240" w:lineRule="auto"/>
              <w:jc w:val="right"/>
            </w:pPr>
            <w:r>
              <w:rPr>
                <w:sz w:val="18"/>
              </w:rPr>
              <w:t>47,6</w:t>
            </w:r>
          </w:p>
        </w:tc>
      </w:tr>
    </w:tbl>
    <w:p w14:paraId="268A1C8F" w14:textId="77777777" w:rsidR="003E20DF" w:rsidRDefault="003E20DF">
      <w:pPr>
        <w:spacing w:after="0"/>
      </w:pPr>
    </w:p>
    <w:p w14:paraId="1B7661E2" w14:textId="77777777" w:rsidR="003E20DF" w:rsidRDefault="00F01A5C" w:rsidP="00E72F6C">
      <w:pPr>
        <w:ind w:firstLine="708"/>
        <w:jc w:val="both"/>
      </w:pPr>
      <w:r>
        <w:t>Zaštita okoliša – rashodi su značajno manji u odnosu na 2024. obzirom da je u istoj provedeno hortikulturno uređenje, odnosno sadnja drveća u okviru projekta ozelenjavanja gradskih i prigradskih naselja koji je sufinancirao Fond za zaštitu okoliša i energetsku učinkovitost. Manji su rashodi za održavanje otvorene kanalske mreže te gospodarenje otpadom, namjenska sredstva prenose se u sljedeću godinu.</w:t>
      </w:r>
    </w:p>
    <w:p w14:paraId="2795DCF7" w14:textId="77777777" w:rsidR="003E20DF" w:rsidRDefault="003E20DF"/>
    <w:p w14:paraId="3B4ABC9C" w14:textId="77777777" w:rsidR="003E20DF" w:rsidRDefault="00F01A5C">
      <w:pPr>
        <w:keepNext/>
        <w:spacing w:line="240" w:lineRule="auto"/>
        <w:jc w:val="center"/>
      </w:pPr>
      <w:r>
        <w:rPr>
          <w:sz w:val="28"/>
        </w:rPr>
        <w:t>Bilješka 101.</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20DF" w14:paraId="3CAEE8B0" w14:textId="77777777">
        <w:trPr>
          <w:cantSplit/>
        </w:trPr>
        <w:tc>
          <w:tcPr>
            <w:tcW w:w="700" w:type="dxa"/>
            <w:shd w:val="clear" w:color="auto" w:fill="E7F0F9"/>
            <w:tcMar>
              <w:top w:w="0" w:type="dxa"/>
              <w:bottom w:w="0" w:type="dxa"/>
            </w:tcMar>
            <w:vAlign w:val="center"/>
          </w:tcPr>
          <w:p w14:paraId="3D326E16" w14:textId="77777777" w:rsidR="003E20DF" w:rsidRDefault="00F01A5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2B60B6C" w14:textId="77777777" w:rsidR="003E20DF" w:rsidRDefault="00F01A5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CE10860" w14:textId="77777777" w:rsidR="003E20DF" w:rsidRDefault="00F01A5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00B120E" w14:textId="77777777" w:rsidR="003E20DF" w:rsidRDefault="00F01A5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3C0925B" w14:textId="77777777" w:rsidR="003E20DF" w:rsidRDefault="00F01A5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DBB7CC9" w14:textId="77777777" w:rsidR="003E20DF" w:rsidRDefault="00F01A5C">
            <w:pPr>
              <w:keepNext/>
              <w:keepLines/>
              <w:spacing w:after="0" w:line="240" w:lineRule="auto"/>
              <w:jc w:val="center"/>
            </w:pPr>
            <w:r>
              <w:rPr>
                <w:b/>
                <w:sz w:val="18"/>
              </w:rPr>
              <w:t>Indeks (%)</w:t>
            </w:r>
          </w:p>
        </w:tc>
      </w:tr>
      <w:tr w:rsidR="003E20DF" w14:paraId="41C57C5E" w14:textId="77777777">
        <w:trPr>
          <w:cantSplit/>
          <w:trHeight w:val="560"/>
        </w:trPr>
        <w:tc>
          <w:tcPr>
            <w:tcW w:w="700" w:type="dxa"/>
            <w:tcMar>
              <w:top w:w="0" w:type="dxa"/>
              <w:bottom w:w="0" w:type="dxa"/>
            </w:tcMar>
            <w:vAlign w:val="center"/>
          </w:tcPr>
          <w:p w14:paraId="1D216E39" w14:textId="77777777" w:rsidR="003E20DF" w:rsidRDefault="00F01A5C">
            <w:pPr>
              <w:keepNext/>
              <w:keepLines/>
              <w:spacing w:after="0" w:line="240" w:lineRule="auto"/>
            </w:pPr>
            <w:r>
              <w:rPr>
                <w:sz w:val="18"/>
              </w:rPr>
              <w:t>062</w:t>
            </w:r>
          </w:p>
        </w:tc>
        <w:tc>
          <w:tcPr>
            <w:tcW w:w="3180" w:type="dxa"/>
            <w:tcMar>
              <w:top w:w="0" w:type="dxa"/>
              <w:bottom w:w="0" w:type="dxa"/>
            </w:tcMar>
            <w:vAlign w:val="center"/>
          </w:tcPr>
          <w:p w14:paraId="268E42B9" w14:textId="77777777" w:rsidR="003E20DF" w:rsidRDefault="00F01A5C">
            <w:pPr>
              <w:keepNext/>
              <w:keepLines/>
              <w:spacing w:after="0" w:line="240" w:lineRule="auto"/>
            </w:pPr>
            <w:r>
              <w:rPr>
                <w:sz w:val="18"/>
              </w:rPr>
              <w:t>Razvoj zajednice</w:t>
            </w:r>
          </w:p>
        </w:tc>
        <w:tc>
          <w:tcPr>
            <w:tcW w:w="700" w:type="dxa"/>
            <w:tcMar>
              <w:top w:w="0" w:type="dxa"/>
              <w:bottom w:w="0" w:type="dxa"/>
            </w:tcMar>
            <w:vAlign w:val="center"/>
          </w:tcPr>
          <w:p w14:paraId="3AA267A8" w14:textId="77777777" w:rsidR="003E20DF" w:rsidRDefault="00F01A5C">
            <w:pPr>
              <w:keepNext/>
              <w:keepLines/>
              <w:spacing w:after="0" w:line="240" w:lineRule="auto"/>
            </w:pPr>
            <w:r>
              <w:rPr>
                <w:sz w:val="18"/>
              </w:rPr>
              <w:t>062</w:t>
            </w:r>
          </w:p>
        </w:tc>
        <w:tc>
          <w:tcPr>
            <w:tcW w:w="1860" w:type="dxa"/>
            <w:tcMar>
              <w:top w:w="0" w:type="dxa"/>
              <w:bottom w:w="0" w:type="dxa"/>
            </w:tcMar>
            <w:vAlign w:val="center"/>
          </w:tcPr>
          <w:p w14:paraId="036F7792" w14:textId="77777777" w:rsidR="003E20DF" w:rsidRDefault="00F01A5C">
            <w:pPr>
              <w:keepNext/>
              <w:keepLines/>
              <w:spacing w:after="0" w:line="240" w:lineRule="auto"/>
              <w:jc w:val="right"/>
            </w:pPr>
            <w:r>
              <w:rPr>
                <w:sz w:val="18"/>
              </w:rPr>
              <w:t>23.861.276,20</w:t>
            </w:r>
          </w:p>
        </w:tc>
        <w:tc>
          <w:tcPr>
            <w:tcW w:w="1860" w:type="dxa"/>
            <w:tcMar>
              <w:top w:w="0" w:type="dxa"/>
              <w:bottom w:w="0" w:type="dxa"/>
            </w:tcMar>
            <w:vAlign w:val="center"/>
          </w:tcPr>
          <w:p w14:paraId="664ABFDA" w14:textId="77777777" w:rsidR="003E20DF" w:rsidRDefault="00F01A5C">
            <w:pPr>
              <w:keepNext/>
              <w:keepLines/>
              <w:spacing w:after="0" w:line="240" w:lineRule="auto"/>
              <w:jc w:val="right"/>
            </w:pPr>
            <w:r>
              <w:rPr>
                <w:sz w:val="18"/>
              </w:rPr>
              <w:t>32.108.807,76</w:t>
            </w:r>
          </w:p>
        </w:tc>
        <w:tc>
          <w:tcPr>
            <w:tcW w:w="700" w:type="dxa"/>
            <w:tcMar>
              <w:top w:w="0" w:type="dxa"/>
              <w:bottom w:w="0" w:type="dxa"/>
            </w:tcMar>
            <w:vAlign w:val="center"/>
          </w:tcPr>
          <w:p w14:paraId="5CAF07A7" w14:textId="77777777" w:rsidR="003E20DF" w:rsidRDefault="00F01A5C">
            <w:pPr>
              <w:keepNext/>
              <w:keepLines/>
              <w:spacing w:after="0" w:line="240" w:lineRule="auto"/>
              <w:jc w:val="right"/>
            </w:pPr>
            <w:r>
              <w:rPr>
                <w:sz w:val="18"/>
              </w:rPr>
              <w:t>134,6</w:t>
            </w:r>
          </w:p>
        </w:tc>
      </w:tr>
    </w:tbl>
    <w:p w14:paraId="5040EECD" w14:textId="77777777" w:rsidR="003E20DF" w:rsidRDefault="003E20DF">
      <w:pPr>
        <w:spacing w:after="0"/>
      </w:pPr>
    </w:p>
    <w:p w14:paraId="66160157" w14:textId="77777777" w:rsidR="003E20DF" w:rsidRDefault="00F01A5C" w:rsidP="00E72F6C">
      <w:pPr>
        <w:ind w:firstLine="708"/>
        <w:jc w:val="both"/>
      </w:pPr>
      <w:r>
        <w:t>Razvoj zajednice-iskazano povećanje rezultat je rasta izdvajanja za održavanje javnih i zelenih površina u gradu Osijeku, povećanih subvencija trgovačkim društvima te kapitalnih pomoći za predfinanciranje troškova EU projekta trgovačkog društva GPP d.o.o. Osijek, odnosno troškova rasta cijena ugovorenih radova za koje će povrat biti izvršen po refundaciji od strane nadležnog tijela. </w:t>
      </w:r>
    </w:p>
    <w:p w14:paraId="753E62C2" w14:textId="77777777" w:rsidR="003E20DF" w:rsidRDefault="003E20DF"/>
    <w:p w14:paraId="755FABDA" w14:textId="77777777" w:rsidR="003E20DF" w:rsidRDefault="00F01A5C">
      <w:pPr>
        <w:keepNext/>
        <w:spacing w:line="240" w:lineRule="auto"/>
        <w:jc w:val="center"/>
      </w:pPr>
      <w:r>
        <w:rPr>
          <w:sz w:val="28"/>
        </w:rPr>
        <w:t>Bilješka 102.</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20DF" w14:paraId="4B6DB5CD" w14:textId="77777777">
        <w:trPr>
          <w:cantSplit/>
        </w:trPr>
        <w:tc>
          <w:tcPr>
            <w:tcW w:w="700" w:type="dxa"/>
            <w:shd w:val="clear" w:color="auto" w:fill="E7F0F9"/>
            <w:tcMar>
              <w:top w:w="0" w:type="dxa"/>
              <w:bottom w:w="0" w:type="dxa"/>
            </w:tcMar>
            <w:vAlign w:val="center"/>
          </w:tcPr>
          <w:p w14:paraId="7250C24D" w14:textId="77777777" w:rsidR="003E20DF" w:rsidRDefault="00F01A5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F3B0AC5" w14:textId="77777777" w:rsidR="003E20DF" w:rsidRDefault="00F01A5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718F8B7" w14:textId="77777777" w:rsidR="003E20DF" w:rsidRDefault="00F01A5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40A5374" w14:textId="77777777" w:rsidR="003E20DF" w:rsidRDefault="00F01A5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B307437" w14:textId="77777777" w:rsidR="003E20DF" w:rsidRDefault="00F01A5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CE72B1B" w14:textId="77777777" w:rsidR="003E20DF" w:rsidRDefault="00F01A5C">
            <w:pPr>
              <w:keepNext/>
              <w:keepLines/>
              <w:spacing w:after="0" w:line="240" w:lineRule="auto"/>
              <w:jc w:val="center"/>
            </w:pPr>
            <w:r>
              <w:rPr>
                <w:b/>
                <w:sz w:val="18"/>
              </w:rPr>
              <w:t>Indeks (%)</w:t>
            </w:r>
          </w:p>
        </w:tc>
      </w:tr>
      <w:tr w:rsidR="003E20DF" w14:paraId="121B26E3" w14:textId="77777777">
        <w:trPr>
          <w:cantSplit/>
          <w:trHeight w:val="560"/>
        </w:trPr>
        <w:tc>
          <w:tcPr>
            <w:tcW w:w="700" w:type="dxa"/>
            <w:tcMar>
              <w:top w:w="0" w:type="dxa"/>
              <w:bottom w:w="0" w:type="dxa"/>
            </w:tcMar>
            <w:vAlign w:val="center"/>
          </w:tcPr>
          <w:p w14:paraId="4AE45137" w14:textId="77777777" w:rsidR="003E20DF" w:rsidRDefault="00F01A5C">
            <w:pPr>
              <w:keepNext/>
              <w:keepLines/>
              <w:spacing w:after="0" w:line="240" w:lineRule="auto"/>
            </w:pPr>
            <w:r>
              <w:rPr>
                <w:sz w:val="18"/>
              </w:rPr>
              <w:t>064</w:t>
            </w:r>
          </w:p>
        </w:tc>
        <w:tc>
          <w:tcPr>
            <w:tcW w:w="3180" w:type="dxa"/>
            <w:tcMar>
              <w:top w:w="0" w:type="dxa"/>
              <w:bottom w:w="0" w:type="dxa"/>
            </w:tcMar>
            <w:vAlign w:val="center"/>
          </w:tcPr>
          <w:p w14:paraId="340C795B" w14:textId="77777777" w:rsidR="003E20DF" w:rsidRDefault="00F01A5C">
            <w:pPr>
              <w:keepNext/>
              <w:keepLines/>
              <w:spacing w:after="0" w:line="240" w:lineRule="auto"/>
            </w:pPr>
            <w:r>
              <w:rPr>
                <w:sz w:val="18"/>
              </w:rPr>
              <w:t>Ulična rasvjeta</w:t>
            </w:r>
          </w:p>
        </w:tc>
        <w:tc>
          <w:tcPr>
            <w:tcW w:w="700" w:type="dxa"/>
            <w:tcMar>
              <w:top w:w="0" w:type="dxa"/>
              <w:bottom w:w="0" w:type="dxa"/>
            </w:tcMar>
            <w:vAlign w:val="center"/>
          </w:tcPr>
          <w:p w14:paraId="5D9871BF" w14:textId="77777777" w:rsidR="003E20DF" w:rsidRDefault="00F01A5C">
            <w:pPr>
              <w:keepNext/>
              <w:keepLines/>
              <w:spacing w:after="0" w:line="240" w:lineRule="auto"/>
            </w:pPr>
            <w:r>
              <w:rPr>
                <w:sz w:val="18"/>
              </w:rPr>
              <w:t>064</w:t>
            </w:r>
          </w:p>
        </w:tc>
        <w:tc>
          <w:tcPr>
            <w:tcW w:w="1860" w:type="dxa"/>
            <w:tcMar>
              <w:top w:w="0" w:type="dxa"/>
              <w:bottom w:w="0" w:type="dxa"/>
            </w:tcMar>
            <w:vAlign w:val="center"/>
          </w:tcPr>
          <w:p w14:paraId="3C50967C" w14:textId="77777777" w:rsidR="003E20DF" w:rsidRDefault="00F01A5C">
            <w:pPr>
              <w:keepNext/>
              <w:keepLines/>
              <w:spacing w:after="0" w:line="240" w:lineRule="auto"/>
              <w:jc w:val="right"/>
            </w:pPr>
            <w:r>
              <w:rPr>
                <w:sz w:val="18"/>
              </w:rPr>
              <w:t>1.844.839,08</w:t>
            </w:r>
          </w:p>
        </w:tc>
        <w:tc>
          <w:tcPr>
            <w:tcW w:w="1860" w:type="dxa"/>
            <w:tcMar>
              <w:top w:w="0" w:type="dxa"/>
              <w:bottom w:w="0" w:type="dxa"/>
            </w:tcMar>
            <w:vAlign w:val="center"/>
          </w:tcPr>
          <w:p w14:paraId="7AA9F4AD" w14:textId="77777777" w:rsidR="003E20DF" w:rsidRDefault="00F01A5C">
            <w:pPr>
              <w:keepNext/>
              <w:keepLines/>
              <w:spacing w:after="0" w:line="240" w:lineRule="auto"/>
              <w:jc w:val="right"/>
            </w:pPr>
            <w:r>
              <w:rPr>
                <w:sz w:val="18"/>
              </w:rPr>
              <w:t>2.658.878,42</w:t>
            </w:r>
          </w:p>
        </w:tc>
        <w:tc>
          <w:tcPr>
            <w:tcW w:w="700" w:type="dxa"/>
            <w:tcMar>
              <w:top w:w="0" w:type="dxa"/>
              <w:bottom w:w="0" w:type="dxa"/>
            </w:tcMar>
            <w:vAlign w:val="center"/>
          </w:tcPr>
          <w:p w14:paraId="651C84AF" w14:textId="77777777" w:rsidR="003E20DF" w:rsidRDefault="00F01A5C">
            <w:pPr>
              <w:keepNext/>
              <w:keepLines/>
              <w:spacing w:after="0" w:line="240" w:lineRule="auto"/>
              <w:jc w:val="right"/>
            </w:pPr>
            <w:r>
              <w:rPr>
                <w:sz w:val="18"/>
              </w:rPr>
              <w:t>144,1</w:t>
            </w:r>
          </w:p>
        </w:tc>
      </w:tr>
    </w:tbl>
    <w:p w14:paraId="36AF88DD" w14:textId="77777777" w:rsidR="003E20DF" w:rsidRDefault="003E20DF">
      <w:pPr>
        <w:spacing w:after="0"/>
      </w:pPr>
    </w:p>
    <w:p w14:paraId="07225B2F" w14:textId="77777777" w:rsidR="003E20DF" w:rsidRDefault="00F01A5C" w:rsidP="005C74B6">
      <w:pPr>
        <w:jc w:val="both"/>
      </w:pPr>
      <w:r>
        <w:t>Ulična rasvjeta – povećanje u okviru ove šifre vezano je za kontinuirano povećanje izdvajanja u pametnu i učinkovitu  javnu rasvjetu.</w:t>
      </w:r>
    </w:p>
    <w:p w14:paraId="4C10C5D5" w14:textId="77777777" w:rsidR="003E20DF" w:rsidRDefault="003E20DF"/>
    <w:p w14:paraId="3A825937" w14:textId="77777777" w:rsidR="003E20DF" w:rsidRDefault="00F01A5C">
      <w:pPr>
        <w:keepNext/>
        <w:spacing w:line="240" w:lineRule="auto"/>
        <w:jc w:val="center"/>
      </w:pPr>
      <w:r>
        <w:rPr>
          <w:sz w:val="28"/>
        </w:rPr>
        <w:lastRenderedPageBreak/>
        <w:t>Bilješka 103.</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20DF" w14:paraId="3121CBC0" w14:textId="77777777">
        <w:trPr>
          <w:cantSplit/>
        </w:trPr>
        <w:tc>
          <w:tcPr>
            <w:tcW w:w="700" w:type="dxa"/>
            <w:shd w:val="clear" w:color="auto" w:fill="E7F0F9"/>
            <w:tcMar>
              <w:top w:w="0" w:type="dxa"/>
              <w:bottom w:w="0" w:type="dxa"/>
            </w:tcMar>
            <w:vAlign w:val="center"/>
          </w:tcPr>
          <w:p w14:paraId="35A56ED8" w14:textId="77777777" w:rsidR="003E20DF" w:rsidRDefault="00F01A5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69A2279" w14:textId="77777777" w:rsidR="003E20DF" w:rsidRDefault="00F01A5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22932CF" w14:textId="77777777" w:rsidR="003E20DF" w:rsidRDefault="00F01A5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18EE12E" w14:textId="77777777" w:rsidR="003E20DF" w:rsidRDefault="00F01A5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1615B1B" w14:textId="77777777" w:rsidR="003E20DF" w:rsidRDefault="00F01A5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EF110E3" w14:textId="77777777" w:rsidR="003E20DF" w:rsidRDefault="00F01A5C">
            <w:pPr>
              <w:keepNext/>
              <w:keepLines/>
              <w:spacing w:after="0" w:line="240" w:lineRule="auto"/>
              <w:jc w:val="center"/>
            </w:pPr>
            <w:r>
              <w:rPr>
                <w:b/>
                <w:sz w:val="18"/>
              </w:rPr>
              <w:t>Indeks (%)</w:t>
            </w:r>
          </w:p>
        </w:tc>
      </w:tr>
      <w:tr w:rsidR="003E20DF" w14:paraId="105C851B" w14:textId="77777777">
        <w:trPr>
          <w:cantSplit/>
          <w:trHeight w:val="560"/>
        </w:trPr>
        <w:tc>
          <w:tcPr>
            <w:tcW w:w="700" w:type="dxa"/>
            <w:tcMar>
              <w:top w:w="0" w:type="dxa"/>
              <w:bottom w:w="0" w:type="dxa"/>
            </w:tcMar>
            <w:vAlign w:val="center"/>
          </w:tcPr>
          <w:p w14:paraId="7892652E" w14:textId="77777777" w:rsidR="003E20DF" w:rsidRDefault="00F01A5C">
            <w:pPr>
              <w:keepNext/>
              <w:keepLines/>
              <w:spacing w:after="0" w:line="240" w:lineRule="auto"/>
            </w:pPr>
            <w:r>
              <w:rPr>
                <w:sz w:val="18"/>
              </w:rPr>
              <w:t>076</w:t>
            </w:r>
          </w:p>
        </w:tc>
        <w:tc>
          <w:tcPr>
            <w:tcW w:w="3180" w:type="dxa"/>
            <w:tcMar>
              <w:top w:w="0" w:type="dxa"/>
              <w:bottom w:w="0" w:type="dxa"/>
            </w:tcMar>
            <w:vAlign w:val="center"/>
          </w:tcPr>
          <w:p w14:paraId="23408D26" w14:textId="77777777" w:rsidR="003E20DF" w:rsidRDefault="00F01A5C">
            <w:pPr>
              <w:keepNext/>
              <w:keepLines/>
              <w:spacing w:after="0" w:line="240" w:lineRule="auto"/>
            </w:pPr>
            <w:r>
              <w:rPr>
                <w:sz w:val="18"/>
              </w:rPr>
              <w:t>Poslovi i usluge zdravstva koji nisu drugdje svrstani</w:t>
            </w:r>
          </w:p>
        </w:tc>
        <w:tc>
          <w:tcPr>
            <w:tcW w:w="700" w:type="dxa"/>
            <w:tcMar>
              <w:top w:w="0" w:type="dxa"/>
              <w:bottom w:w="0" w:type="dxa"/>
            </w:tcMar>
            <w:vAlign w:val="center"/>
          </w:tcPr>
          <w:p w14:paraId="7E73B2F5" w14:textId="77777777" w:rsidR="003E20DF" w:rsidRDefault="00F01A5C">
            <w:pPr>
              <w:keepNext/>
              <w:keepLines/>
              <w:spacing w:after="0" w:line="240" w:lineRule="auto"/>
            </w:pPr>
            <w:r>
              <w:rPr>
                <w:sz w:val="18"/>
              </w:rPr>
              <w:t>076</w:t>
            </w:r>
          </w:p>
        </w:tc>
        <w:tc>
          <w:tcPr>
            <w:tcW w:w="1860" w:type="dxa"/>
            <w:tcMar>
              <w:top w:w="0" w:type="dxa"/>
              <w:bottom w:w="0" w:type="dxa"/>
            </w:tcMar>
            <w:vAlign w:val="center"/>
          </w:tcPr>
          <w:p w14:paraId="37A55E23" w14:textId="77777777" w:rsidR="003E20DF" w:rsidRDefault="00F01A5C">
            <w:pPr>
              <w:keepNext/>
              <w:keepLines/>
              <w:spacing w:after="0" w:line="240" w:lineRule="auto"/>
              <w:jc w:val="right"/>
            </w:pPr>
            <w:r>
              <w:rPr>
                <w:sz w:val="18"/>
              </w:rPr>
              <w:t>1.610.756,69</w:t>
            </w:r>
          </w:p>
        </w:tc>
        <w:tc>
          <w:tcPr>
            <w:tcW w:w="1860" w:type="dxa"/>
            <w:tcMar>
              <w:top w:w="0" w:type="dxa"/>
              <w:bottom w:w="0" w:type="dxa"/>
            </w:tcMar>
            <w:vAlign w:val="center"/>
          </w:tcPr>
          <w:p w14:paraId="5E192560" w14:textId="77777777" w:rsidR="003E20DF" w:rsidRDefault="00F01A5C">
            <w:pPr>
              <w:keepNext/>
              <w:keepLines/>
              <w:spacing w:after="0" w:line="240" w:lineRule="auto"/>
              <w:jc w:val="right"/>
            </w:pPr>
            <w:r>
              <w:rPr>
                <w:sz w:val="18"/>
              </w:rPr>
              <w:t>757.791,73</w:t>
            </w:r>
          </w:p>
        </w:tc>
        <w:tc>
          <w:tcPr>
            <w:tcW w:w="700" w:type="dxa"/>
            <w:tcMar>
              <w:top w:w="0" w:type="dxa"/>
              <w:bottom w:w="0" w:type="dxa"/>
            </w:tcMar>
            <w:vAlign w:val="center"/>
          </w:tcPr>
          <w:p w14:paraId="05BBCAB7" w14:textId="77777777" w:rsidR="003E20DF" w:rsidRDefault="00F01A5C">
            <w:pPr>
              <w:keepNext/>
              <w:keepLines/>
              <w:spacing w:after="0" w:line="240" w:lineRule="auto"/>
              <w:jc w:val="right"/>
            </w:pPr>
            <w:r>
              <w:rPr>
                <w:sz w:val="18"/>
              </w:rPr>
              <w:t>47,0</w:t>
            </w:r>
          </w:p>
        </w:tc>
      </w:tr>
    </w:tbl>
    <w:p w14:paraId="486B203E" w14:textId="77777777" w:rsidR="003E20DF" w:rsidRDefault="003E20DF">
      <w:pPr>
        <w:spacing w:after="0"/>
      </w:pPr>
    </w:p>
    <w:p w14:paraId="50C0D6A5" w14:textId="77777777" w:rsidR="003E20DF" w:rsidRDefault="00F01A5C" w:rsidP="005C74B6">
      <w:pPr>
        <w:jc w:val="both"/>
      </w:pPr>
      <w:r>
        <w:t>Poslovi i usluge zdravstva koji nisu drugdje svrstani- smanjenje rashoda vezano je za  kontrolu i suzbijanje komaraca, obzirom da za istima uslijed dobrih vremenskih uvjeta nije bilo potrebe.</w:t>
      </w:r>
    </w:p>
    <w:p w14:paraId="10F755E8" w14:textId="77777777" w:rsidR="003E20DF" w:rsidRDefault="003E20DF"/>
    <w:p w14:paraId="7BA75036" w14:textId="77777777" w:rsidR="003E20DF" w:rsidRDefault="00F01A5C">
      <w:pPr>
        <w:keepNext/>
        <w:spacing w:line="240" w:lineRule="auto"/>
        <w:jc w:val="center"/>
      </w:pPr>
      <w:r>
        <w:rPr>
          <w:sz w:val="28"/>
        </w:rPr>
        <w:t>Bilješka 104.</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20DF" w14:paraId="29135216" w14:textId="77777777">
        <w:trPr>
          <w:cantSplit/>
        </w:trPr>
        <w:tc>
          <w:tcPr>
            <w:tcW w:w="700" w:type="dxa"/>
            <w:shd w:val="clear" w:color="auto" w:fill="E7F0F9"/>
            <w:tcMar>
              <w:top w:w="0" w:type="dxa"/>
              <w:bottom w:w="0" w:type="dxa"/>
            </w:tcMar>
            <w:vAlign w:val="center"/>
          </w:tcPr>
          <w:p w14:paraId="5CBD2AE4" w14:textId="77777777" w:rsidR="003E20DF" w:rsidRDefault="00F01A5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0234FA8" w14:textId="77777777" w:rsidR="003E20DF" w:rsidRDefault="00F01A5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5B3D046" w14:textId="77777777" w:rsidR="003E20DF" w:rsidRDefault="00F01A5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E49EB04" w14:textId="77777777" w:rsidR="003E20DF" w:rsidRDefault="00F01A5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4C9CD46" w14:textId="77777777" w:rsidR="003E20DF" w:rsidRDefault="00F01A5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CD4C196" w14:textId="77777777" w:rsidR="003E20DF" w:rsidRDefault="00F01A5C">
            <w:pPr>
              <w:keepNext/>
              <w:keepLines/>
              <w:spacing w:after="0" w:line="240" w:lineRule="auto"/>
              <w:jc w:val="center"/>
            </w:pPr>
            <w:r>
              <w:rPr>
                <w:b/>
                <w:sz w:val="18"/>
              </w:rPr>
              <w:t>Indeks (%)</w:t>
            </w:r>
          </w:p>
        </w:tc>
      </w:tr>
      <w:tr w:rsidR="003E20DF" w14:paraId="3B7BE751" w14:textId="77777777">
        <w:trPr>
          <w:cantSplit/>
          <w:trHeight w:val="560"/>
        </w:trPr>
        <w:tc>
          <w:tcPr>
            <w:tcW w:w="700" w:type="dxa"/>
            <w:tcMar>
              <w:top w:w="0" w:type="dxa"/>
              <w:bottom w:w="0" w:type="dxa"/>
            </w:tcMar>
            <w:vAlign w:val="center"/>
          </w:tcPr>
          <w:p w14:paraId="6540F17A" w14:textId="77777777" w:rsidR="003E20DF" w:rsidRDefault="00F01A5C">
            <w:pPr>
              <w:keepNext/>
              <w:keepLines/>
              <w:spacing w:after="0" w:line="240" w:lineRule="auto"/>
            </w:pPr>
            <w:r>
              <w:rPr>
                <w:sz w:val="18"/>
              </w:rPr>
              <w:t>081</w:t>
            </w:r>
          </w:p>
        </w:tc>
        <w:tc>
          <w:tcPr>
            <w:tcW w:w="3180" w:type="dxa"/>
            <w:tcMar>
              <w:top w:w="0" w:type="dxa"/>
              <w:bottom w:w="0" w:type="dxa"/>
            </w:tcMar>
            <w:vAlign w:val="center"/>
          </w:tcPr>
          <w:p w14:paraId="077CCD36" w14:textId="77777777" w:rsidR="003E20DF" w:rsidRDefault="00F01A5C">
            <w:pPr>
              <w:keepNext/>
              <w:keepLines/>
              <w:spacing w:after="0" w:line="240" w:lineRule="auto"/>
            </w:pPr>
            <w:r>
              <w:rPr>
                <w:sz w:val="18"/>
              </w:rPr>
              <w:t>Službe rekreacije i sporta</w:t>
            </w:r>
          </w:p>
        </w:tc>
        <w:tc>
          <w:tcPr>
            <w:tcW w:w="700" w:type="dxa"/>
            <w:tcMar>
              <w:top w:w="0" w:type="dxa"/>
              <w:bottom w:w="0" w:type="dxa"/>
            </w:tcMar>
            <w:vAlign w:val="center"/>
          </w:tcPr>
          <w:p w14:paraId="59D935B5" w14:textId="77777777" w:rsidR="003E20DF" w:rsidRDefault="00F01A5C">
            <w:pPr>
              <w:keepNext/>
              <w:keepLines/>
              <w:spacing w:after="0" w:line="240" w:lineRule="auto"/>
            </w:pPr>
            <w:r>
              <w:rPr>
                <w:sz w:val="18"/>
              </w:rPr>
              <w:t>081</w:t>
            </w:r>
          </w:p>
        </w:tc>
        <w:tc>
          <w:tcPr>
            <w:tcW w:w="1860" w:type="dxa"/>
            <w:tcMar>
              <w:top w:w="0" w:type="dxa"/>
              <w:bottom w:w="0" w:type="dxa"/>
            </w:tcMar>
            <w:vAlign w:val="center"/>
          </w:tcPr>
          <w:p w14:paraId="7CEE3738" w14:textId="77777777" w:rsidR="003E20DF" w:rsidRDefault="00F01A5C">
            <w:pPr>
              <w:keepNext/>
              <w:keepLines/>
              <w:spacing w:after="0" w:line="240" w:lineRule="auto"/>
              <w:jc w:val="right"/>
            </w:pPr>
            <w:r>
              <w:rPr>
                <w:sz w:val="18"/>
              </w:rPr>
              <w:t>7.913.648,88</w:t>
            </w:r>
          </w:p>
        </w:tc>
        <w:tc>
          <w:tcPr>
            <w:tcW w:w="1860" w:type="dxa"/>
            <w:tcMar>
              <w:top w:w="0" w:type="dxa"/>
              <w:bottom w:w="0" w:type="dxa"/>
            </w:tcMar>
            <w:vAlign w:val="center"/>
          </w:tcPr>
          <w:p w14:paraId="59C950B6" w14:textId="77777777" w:rsidR="003E20DF" w:rsidRDefault="00F01A5C">
            <w:pPr>
              <w:keepNext/>
              <w:keepLines/>
              <w:spacing w:after="0" w:line="240" w:lineRule="auto"/>
              <w:jc w:val="right"/>
            </w:pPr>
            <w:r>
              <w:rPr>
                <w:sz w:val="18"/>
              </w:rPr>
              <w:t>11.582.387,83</w:t>
            </w:r>
          </w:p>
        </w:tc>
        <w:tc>
          <w:tcPr>
            <w:tcW w:w="700" w:type="dxa"/>
            <w:tcMar>
              <w:top w:w="0" w:type="dxa"/>
              <w:bottom w:w="0" w:type="dxa"/>
            </w:tcMar>
            <w:vAlign w:val="center"/>
          </w:tcPr>
          <w:p w14:paraId="1B2A2937" w14:textId="77777777" w:rsidR="003E20DF" w:rsidRDefault="00F01A5C">
            <w:pPr>
              <w:keepNext/>
              <w:keepLines/>
              <w:spacing w:after="0" w:line="240" w:lineRule="auto"/>
              <w:jc w:val="right"/>
            </w:pPr>
            <w:r>
              <w:rPr>
                <w:sz w:val="18"/>
              </w:rPr>
              <w:t>146,4</w:t>
            </w:r>
          </w:p>
        </w:tc>
      </w:tr>
    </w:tbl>
    <w:p w14:paraId="1B65DB14" w14:textId="77777777" w:rsidR="003E20DF" w:rsidRDefault="003E20DF">
      <w:pPr>
        <w:spacing w:after="0"/>
      </w:pPr>
    </w:p>
    <w:p w14:paraId="2D926123" w14:textId="77777777" w:rsidR="003E20DF" w:rsidRDefault="00F01A5C" w:rsidP="005C74B6">
      <w:pPr>
        <w:jc w:val="both"/>
      </w:pPr>
      <w:r>
        <w:t>Službe rekreacije i sporta – iskazano povećanje vezano je za kontinuitet povećanja izdvajanja za redovitu djelatnost sporta, posebice putem Zajednice osječkog sporta te dodatna ulaganja i izgradnju sportskih objekata, posebice provedbu druge faze uređenja kupališta Copacabana.</w:t>
      </w:r>
    </w:p>
    <w:p w14:paraId="63A55182" w14:textId="77777777" w:rsidR="003E20DF" w:rsidRDefault="003E20DF"/>
    <w:p w14:paraId="5834C13D" w14:textId="77777777" w:rsidR="003E20DF" w:rsidRDefault="00F01A5C">
      <w:pPr>
        <w:keepNext/>
        <w:spacing w:line="240" w:lineRule="auto"/>
        <w:jc w:val="center"/>
      </w:pPr>
      <w:r>
        <w:rPr>
          <w:sz w:val="28"/>
        </w:rPr>
        <w:t>Bilješka 105.</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20DF" w14:paraId="768EA853" w14:textId="77777777">
        <w:trPr>
          <w:cantSplit/>
        </w:trPr>
        <w:tc>
          <w:tcPr>
            <w:tcW w:w="700" w:type="dxa"/>
            <w:shd w:val="clear" w:color="auto" w:fill="E7F0F9"/>
            <w:tcMar>
              <w:top w:w="0" w:type="dxa"/>
              <w:bottom w:w="0" w:type="dxa"/>
            </w:tcMar>
            <w:vAlign w:val="center"/>
          </w:tcPr>
          <w:p w14:paraId="7AE63944" w14:textId="77777777" w:rsidR="003E20DF" w:rsidRDefault="00F01A5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D2FEC6C" w14:textId="77777777" w:rsidR="003E20DF" w:rsidRDefault="00F01A5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28DDBDA" w14:textId="77777777" w:rsidR="003E20DF" w:rsidRDefault="00F01A5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7381455" w14:textId="77777777" w:rsidR="003E20DF" w:rsidRDefault="00F01A5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D70EE6D" w14:textId="77777777" w:rsidR="003E20DF" w:rsidRDefault="00F01A5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07794A7" w14:textId="77777777" w:rsidR="003E20DF" w:rsidRDefault="00F01A5C">
            <w:pPr>
              <w:keepNext/>
              <w:keepLines/>
              <w:spacing w:after="0" w:line="240" w:lineRule="auto"/>
              <w:jc w:val="center"/>
            </w:pPr>
            <w:r>
              <w:rPr>
                <w:b/>
                <w:sz w:val="18"/>
              </w:rPr>
              <w:t>Indeks (%)</w:t>
            </w:r>
          </w:p>
        </w:tc>
      </w:tr>
      <w:tr w:rsidR="003E20DF" w14:paraId="5633E9F2" w14:textId="77777777">
        <w:trPr>
          <w:cantSplit/>
          <w:trHeight w:val="560"/>
        </w:trPr>
        <w:tc>
          <w:tcPr>
            <w:tcW w:w="700" w:type="dxa"/>
            <w:tcMar>
              <w:top w:w="0" w:type="dxa"/>
              <w:bottom w:w="0" w:type="dxa"/>
            </w:tcMar>
            <w:vAlign w:val="center"/>
          </w:tcPr>
          <w:p w14:paraId="59DC7A4D" w14:textId="77777777" w:rsidR="003E20DF" w:rsidRDefault="00F01A5C">
            <w:pPr>
              <w:keepNext/>
              <w:keepLines/>
              <w:spacing w:after="0" w:line="240" w:lineRule="auto"/>
            </w:pPr>
            <w:r>
              <w:rPr>
                <w:sz w:val="18"/>
              </w:rPr>
              <w:t>0911</w:t>
            </w:r>
          </w:p>
        </w:tc>
        <w:tc>
          <w:tcPr>
            <w:tcW w:w="3180" w:type="dxa"/>
            <w:tcMar>
              <w:top w:w="0" w:type="dxa"/>
              <w:bottom w:w="0" w:type="dxa"/>
            </w:tcMar>
            <w:vAlign w:val="center"/>
          </w:tcPr>
          <w:p w14:paraId="7A4CC971" w14:textId="77777777" w:rsidR="003E20DF" w:rsidRDefault="00F01A5C">
            <w:pPr>
              <w:keepNext/>
              <w:keepLines/>
              <w:spacing w:after="0" w:line="240" w:lineRule="auto"/>
            </w:pPr>
            <w:r>
              <w:rPr>
                <w:sz w:val="18"/>
              </w:rPr>
              <w:t>Predškolsko obrazovanje</w:t>
            </w:r>
          </w:p>
        </w:tc>
        <w:tc>
          <w:tcPr>
            <w:tcW w:w="700" w:type="dxa"/>
            <w:tcMar>
              <w:top w:w="0" w:type="dxa"/>
              <w:bottom w:w="0" w:type="dxa"/>
            </w:tcMar>
            <w:vAlign w:val="center"/>
          </w:tcPr>
          <w:p w14:paraId="6ED8DC59" w14:textId="77777777" w:rsidR="003E20DF" w:rsidRDefault="00F01A5C">
            <w:pPr>
              <w:keepNext/>
              <w:keepLines/>
              <w:spacing w:after="0" w:line="240" w:lineRule="auto"/>
            </w:pPr>
            <w:r>
              <w:rPr>
                <w:sz w:val="18"/>
              </w:rPr>
              <w:t>0911</w:t>
            </w:r>
          </w:p>
        </w:tc>
        <w:tc>
          <w:tcPr>
            <w:tcW w:w="1860" w:type="dxa"/>
            <w:tcMar>
              <w:top w:w="0" w:type="dxa"/>
              <w:bottom w:w="0" w:type="dxa"/>
            </w:tcMar>
            <w:vAlign w:val="center"/>
          </w:tcPr>
          <w:p w14:paraId="108A3C8B" w14:textId="77777777" w:rsidR="003E20DF" w:rsidRDefault="00F01A5C">
            <w:pPr>
              <w:keepNext/>
              <w:keepLines/>
              <w:spacing w:after="0" w:line="240" w:lineRule="auto"/>
              <w:jc w:val="right"/>
            </w:pPr>
            <w:r>
              <w:rPr>
                <w:sz w:val="18"/>
              </w:rPr>
              <w:t>5.981.414,22</w:t>
            </w:r>
          </w:p>
        </w:tc>
        <w:tc>
          <w:tcPr>
            <w:tcW w:w="1860" w:type="dxa"/>
            <w:tcMar>
              <w:top w:w="0" w:type="dxa"/>
              <w:bottom w:w="0" w:type="dxa"/>
            </w:tcMar>
            <w:vAlign w:val="center"/>
          </w:tcPr>
          <w:p w14:paraId="22415DDD" w14:textId="77777777" w:rsidR="003E20DF" w:rsidRDefault="00F01A5C">
            <w:pPr>
              <w:keepNext/>
              <w:keepLines/>
              <w:spacing w:after="0" w:line="240" w:lineRule="auto"/>
              <w:jc w:val="right"/>
            </w:pPr>
            <w:r>
              <w:rPr>
                <w:sz w:val="18"/>
              </w:rPr>
              <w:t>591.254,57</w:t>
            </w:r>
          </w:p>
        </w:tc>
        <w:tc>
          <w:tcPr>
            <w:tcW w:w="700" w:type="dxa"/>
            <w:tcMar>
              <w:top w:w="0" w:type="dxa"/>
              <w:bottom w:w="0" w:type="dxa"/>
            </w:tcMar>
            <w:vAlign w:val="center"/>
          </w:tcPr>
          <w:p w14:paraId="40BAB80F" w14:textId="77777777" w:rsidR="003E20DF" w:rsidRDefault="00F01A5C">
            <w:pPr>
              <w:keepNext/>
              <w:keepLines/>
              <w:spacing w:after="0" w:line="240" w:lineRule="auto"/>
              <w:jc w:val="right"/>
            </w:pPr>
            <w:r>
              <w:rPr>
                <w:sz w:val="18"/>
              </w:rPr>
              <w:t>9,9</w:t>
            </w:r>
          </w:p>
        </w:tc>
      </w:tr>
    </w:tbl>
    <w:p w14:paraId="20A2C23B" w14:textId="77777777" w:rsidR="003E20DF" w:rsidRDefault="003E20DF">
      <w:pPr>
        <w:spacing w:after="0"/>
      </w:pPr>
    </w:p>
    <w:p w14:paraId="1F0218B1" w14:textId="77777777" w:rsidR="003E20DF" w:rsidRDefault="00F01A5C" w:rsidP="00E72F6C">
      <w:pPr>
        <w:ind w:firstLine="708"/>
        <w:jc w:val="both"/>
      </w:pPr>
      <w:r>
        <w:t>Predškolsko obrazovanje -  smanjenje u okviru ovih rashoda rezultat je izvršenih radova na izgradnji tri i rekonstrukciji dva dječja vrtića u Gradu Osijeku: DV Uske njive, DV u Tenji, DV Cvjetno, DV Latica, DV Sjenčica u 2024. godini. U 2025. započela je energetska obnova dvaju dječjih vrtića, dok u 2026. kreću radovi na izgradnji novog dječjeg vrtića u Podravlju te rekonstrukcija Dječjeg vrtića Centar.</w:t>
      </w:r>
    </w:p>
    <w:p w14:paraId="2E7A0E2D" w14:textId="77777777" w:rsidR="003E20DF" w:rsidRDefault="003E20DF"/>
    <w:p w14:paraId="1B7E9FF4" w14:textId="77777777" w:rsidR="003E20DF" w:rsidRDefault="00F01A5C">
      <w:pPr>
        <w:keepNext/>
        <w:spacing w:line="240" w:lineRule="auto"/>
        <w:jc w:val="center"/>
      </w:pPr>
      <w:r>
        <w:rPr>
          <w:sz w:val="28"/>
        </w:rPr>
        <w:t>Bilješka 106.</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20DF" w14:paraId="2D8B1919" w14:textId="77777777">
        <w:trPr>
          <w:cantSplit/>
        </w:trPr>
        <w:tc>
          <w:tcPr>
            <w:tcW w:w="700" w:type="dxa"/>
            <w:shd w:val="clear" w:color="auto" w:fill="E7F0F9"/>
            <w:tcMar>
              <w:top w:w="0" w:type="dxa"/>
              <w:bottom w:w="0" w:type="dxa"/>
            </w:tcMar>
            <w:vAlign w:val="center"/>
          </w:tcPr>
          <w:p w14:paraId="63CB11AE" w14:textId="77777777" w:rsidR="003E20DF" w:rsidRDefault="00F01A5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0722957" w14:textId="77777777" w:rsidR="003E20DF" w:rsidRDefault="00F01A5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6A89C03" w14:textId="77777777" w:rsidR="003E20DF" w:rsidRDefault="00F01A5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D75FBC6" w14:textId="77777777" w:rsidR="003E20DF" w:rsidRDefault="00F01A5C">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248DAAF" w14:textId="77777777" w:rsidR="003E20DF" w:rsidRDefault="00F01A5C">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FFA39E0" w14:textId="77777777" w:rsidR="003E20DF" w:rsidRDefault="00F01A5C">
            <w:pPr>
              <w:keepNext/>
              <w:keepLines/>
              <w:spacing w:after="0" w:line="240" w:lineRule="auto"/>
              <w:jc w:val="center"/>
            </w:pPr>
            <w:r>
              <w:rPr>
                <w:b/>
                <w:sz w:val="18"/>
              </w:rPr>
              <w:t>Indeks (%)</w:t>
            </w:r>
          </w:p>
        </w:tc>
      </w:tr>
      <w:tr w:rsidR="003E20DF" w14:paraId="1845EF6E" w14:textId="77777777">
        <w:trPr>
          <w:cantSplit/>
          <w:trHeight w:val="560"/>
        </w:trPr>
        <w:tc>
          <w:tcPr>
            <w:tcW w:w="700" w:type="dxa"/>
            <w:tcMar>
              <w:top w:w="0" w:type="dxa"/>
              <w:bottom w:w="0" w:type="dxa"/>
            </w:tcMar>
            <w:vAlign w:val="center"/>
          </w:tcPr>
          <w:p w14:paraId="4C4E9BF0" w14:textId="77777777" w:rsidR="003E20DF" w:rsidRDefault="00F01A5C">
            <w:pPr>
              <w:keepNext/>
              <w:keepLines/>
              <w:spacing w:after="0" w:line="240" w:lineRule="auto"/>
            </w:pPr>
            <w:r>
              <w:rPr>
                <w:sz w:val="18"/>
              </w:rPr>
              <w:t>109</w:t>
            </w:r>
          </w:p>
        </w:tc>
        <w:tc>
          <w:tcPr>
            <w:tcW w:w="3180" w:type="dxa"/>
            <w:tcMar>
              <w:top w:w="0" w:type="dxa"/>
              <w:bottom w:w="0" w:type="dxa"/>
            </w:tcMar>
            <w:vAlign w:val="center"/>
          </w:tcPr>
          <w:p w14:paraId="7EC12771" w14:textId="77777777" w:rsidR="003E20DF" w:rsidRDefault="00F01A5C">
            <w:pPr>
              <w:keepNext/>
              <w:keepLines/>
              <w:spacing w:after="0" w:line="240" w:lineRule="auto"/>
            </w:pPr>
            <w:r>
              <w:rPr>
                <w:sz w:val="18"/>
              </w:rPr>
              <w:t>Aktivnosti socijalne zaštite koje nisu drugdje svrstane</w:t>
            </w:r>
          </w:p>
        </w:tc>
        <w:tc>
          <w:tcPr>
            <w:tcW w:w="700" w:type="dxa"/>
            <w:tcMar>
              <w:top w:w="0" w:type="dxa"/>
              <w:bottom w:w="0" w:type="dxa"/>
            </w:tcMar>
            <w:vAlign w:val="center"/>
          </w:tcPr>
          <w:p w14:paraId="53131169" w14:textId="77777777" w:rsidR="003E20DF" w:rsidRDefault="00F01A5C">
            <w:pPr>
              <w:keepNext/>
              <w:keepLines/>
              <w:spacing w:after="0" w:line="240" w:lineRule="auto"/>
            </w:pPr>
            <w:r>
              <w:rPr>
                <w:sz w:val="18"/>
              </w:rPr>
              <w:t>109</w:t>
            </w:r>
          </w:p>
        </w:tc>
        <w:tc>
          <w:tcPr>
            <w:tcW w:w="1860" w:type="dxa"/>
            <w:tcMar>
              <w:top w:w="0" w:type="dxa"/>
              <w:bottom w:w="0" w:type="dxa"/>
            </w:tcMar>
            <w:vAlign w:val="center"/>
          </w:tcPr>
          <w:p w14:paraId="1D8FD09F" w14:textId="77777777" w:rsidR="003E20DF" w:rsidRDefault="00F01A5C">
            <w:pPr>
              <w:keepNext/>
              <w:keepLines/>
              <w:spacing w:after="0" w:line="240" w:lineRule="auto"/>
              <w:jc w:val="right"/>
            </w:pPr>
            <w:r>
              <w:rPr>
                <w:sz w:val="18"/>
              </w:rPr>
              <w:t>1.636.817,22</w:t>
            </w:r>
          </w:p>
        </w:tc>
        <w:tc>
          <w:tcPr>
            <w:tcW w:w="1860" w:type="dxa"/>
            <w:tcMar>
              <w:top w:w="0" w:type="dxa"/>
              <w:bottom w:w="0" w:type="dxa"/>
            </w:tcMar>
            <w:vAlign w:val="center"/>
          </w:tcPr>
          <w:p w14:paraId="314337AF" w14:textId="77777777" w:rsidR="003E20DF" w:rsidRDefault="00F01A5C">
            <w:pPr>
              <w:keepNext/>
              <w:keepLines/>
              <w:spacing w:after="0" w:line="240" w:lineRule="auto"/>
              <w:jc w:val="right"/>
            </w:pPr>
            <w:r>
              <w:rPr>
                <w:sz w:val="18"/>
              </w:rPr>
              <w:t>2.463.764,90</w:t>
            </w:r>
          </w:p>
        </w:tc>
        <w:tc>
          <w:tcPr>
            <w:tcW w:w="700" w:type="dxa"/>
            <w:tcMar>
              <w:top w:w="0" w:type="dxa"/>
              <w:bottom w:w="0" w:type="dxa"/>
            </w:tcMar>
            <w:vAlign w:val="center"/>
          </w:tcPr>
          <w:p w14:paraId="7ABBF8D5" w14:textId="77777777" w:rsidR="003E20DF" w:rsidRDefault="00F01A5C">
            <w:pPr>
              <w:keepNext/>
              <w:keepLines/>
              <w:spacing w:after="0" w:line="240" w:lineRule="auto"/>
              <w:jc w:val="right"/>
            </w:pPr>
            <w:r>
              <w:rPr>
                <w:sz w:val="18"/>
              </w:rPr>
              <w:t>150,5</w:t>
            </w:r>
          </w:p>
        </w:tc>
      </w:tr>
    </w:tbl>
    <w:p w14:paraId="4DFEFFBD" w14:textId="77777777" w:rsidR="003E20DF" w:rsidRDefault="003E20DF">
      <w:pPr>
        <w:spacing w:after="0"/>
      </w:pPr>
    </w:p>
    <w:p w14:paraId="4AA5D904" w14:textId="77777777" w:rsidR="003E20DF" w:rsidRDefault="00F01A5C" w:rsidP="005C74B6">
      <w:pPr>
        <w:jc w:val="both"/>
      </w:pPr>
      <w:r>
        <w:t xml:space="preserve">Aktivnosti socijalne zaštite koje nisu drugdje svrstane- iskazano povećanje vezano je za povećanje sredstava za isplatu uskrsnice i božićnice osječkim umirovljenicima, inkluzivni </w:t>
      </w:r>
      <w:r>
        <w:lastRenderedPageBreak/>
        <w:t>dodatak, zakonsko izdvajanje za rad crvenog križa te izdvajanja za novorođenu djecu i druge socijalne usluge kojima je cilj kontinuirano povećanje razine pomoći najranjivijim skupinama građana.</w:t>
      </w:r>
    </w:p>
    <w:p w14:paraId="578342BF" w14:textId="77777777" w:rsidR="003E20DF" w:rsidRDefault="003E20DF"/>
    <w:p w14:paraId="61A4807C" w14:textId="77777777" w:rsidR="003E20DF" w:rsidRDefault="00F01A5C">
      <w:pPr>
        <w:keepNext/>
        <w:spacing w:line="240" w:lineRule="auto"/>
        <w:jc w:val="center"/>
      </w:pPr>
      <w:r>
        <w:rPr>
          <w:b/>
          <w:sz w:val="28"/>
        </w:rPr>
        <w:t>Promjene u vrijednosti i obujmu imovine i obveza</w:t>
      </w:r>
    </w:p>
    <w:p w14:paraId="7EE212D9" w14:textId="77777777" w:rsidR="003E20DF" w:rsidRDefault="00F01A5C">
      <w:pPr>
        <w:keepNext/>
        <w:spacing w:line="240" w:lineRule="auto"/>
        <w:jc w:val="center"/>
      </w:pPr>
      <w:r>
        <w:rPr>
          <w:sz w:val="28"/>
        </w:rPr>
        <w:t>Bilješka 107.</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20DF" w14:paraId="15E193EF" w14:textId="77777777">
        <w:trPr>
          <w:cantSplit/>
        </w:trPr>
        <w:tc>
          <w:tcPr>
            <w:tcW w:w="700" w:type="dxa"/>
            <w:shd w:val="clear" w:color="auto" w:fill="E7F0F9"/>
            <w:tcMar>
              <w:top w:w="0" w:type="dxa"/>
              <w:bottom w:w="0" w:type="dxa"/>
            </w:tcMar>
            <w:vAlign w:val="center"/>
          </w:tcPr>
          <w:p w14:paraId="41FA0E0F" w14:textId="77777777" w:rsidR="003E20DF" w:rsidRDefault="00F01A5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0FA3FC6" w14:textId="77777777" w:rsidR="003E20DF" w:rsidRDefault="00F01A5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B6D5F1B" w14:textId="77777777" w:rsidR="003E20DF" w:rsidRDefault="00F01A5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DE64FEB" w14:textId="77777777" w:rsidR="003E20DF" w:rsidRDefault="00F01A5C">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0794E4A8" w14:textId="77777777" w:rsidR="003E20DF" w:rsidRDefault="00F01A5C">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7614C54A" w14:textId="77777777" w:rsidR="003E20DF" w:rsidRDefault="00F01A5C">
            <w:pPr>
              <w:keepNext/>
              <w:keepLines/>
              <w:spacing w:after="0" w:line="240" w:lineRule="auto"/>
              <w:jc w:val="center"/>
            </w:pPr>
            <w:r>
              <w:rPr>
                <w:b/>
                <w:sz w:val="18"/>
              </w:rPr>
              <w:t>Indeks (%)</w:t>
            </w:r>
          </w:p>
        </w:tc>
      </w:tr>
      <w:tr w:rsidR="003E20DF" w14:paraId="70056D13" w14:textId="77777777">
        <w:trPr>
          <w:cantSplit/>
          <w:trHeight w:val="560"/>
        </w:trPr>
        <w:tc>
          <w:tcPr>
            <w:tcW w:w="700" w:type="dxa"/>
            <w:tcMar>
              <w:top w:w="0" w:type="dxa"/>
              <w:bottom w:w="0" w:type="dxa"/>
            </w:tcMar>
            <w:vAlign w:val="center"/>
          </w:tcPr>
          <w:p w14:paraId="09F4E89B" w14:textId="77777777" w:rsidR="003E20DF" w:rsidRDefault="003E20DF">
            <w:pPr>
              <w:keepNext/>
              <w:keepLines/>
              <w:spacing w:after="0" w:line="240" w:lineRule="auto"/>
            </w:pPr>
          </w:p>
        </w:tc>
        <w:tc>
          <w:tcPr>
            <w:tcW w:w="3180" w:type="dxa"/>
            <w:tcMar>
              <w:top w:w="0" w:type="dxa"/>
              <w:bottom w:w="0" w:type="dxa"/>
            </w:tcMar>
            <w:vAlign w:val="center"/>
          </w:tcPr>
          <w:p w14:paraId="138C3F4E" w14:textId="77777777" w:rsidR="003E20DF" w:rsidRDefault="00F01A5C">
            <w:pPr>
              <w:keepNext/>
              <w:keepLines/>
              <w:spacing w:after="0" w:line="240" w:lineRule="auto"/>
            </w:pPr>
            <w:r>
              <w:rPr>
                <w:sz w:val="18"/>
              </w:rPr>
              <w:t>Proizvedena dugotrajna imovina</w:t>
            </w:r>
          </w:p>
        </w:tc>
        <w:tc>
          <w:tcPr>
            <w:tcW w:w="700" w:type="dxa"/>
            <w:tcMar>
              <w:top w:w="0" w:type="dxa"/>
              <w:bottom w:w="0" w:type="dxa"/>
            </w:tcMar>
            <w:vAlign w:val="center"/>
          </w:tcPr>
          <w:p w14:paraId="06654145" w14:textId="77777777" w:rsidR="003E20DF" w:rsidRDefault="00F01A5C">
            <w:pPr>
              <w:keepNext/>
              <w:keepLines/>
              <w:spacing w:after="0" w:line="240" w:lineRule="auto"/>
            </w:pPr>
            <w:r>
              <w:rPr>
                <w:sz w:val="18"/>
              </w:rPr>
              <w:t>P003</w:t>
            </w:r>
          </w:p>
        </w:tc>
        <w:tc>
          <w:tcPr>
            <w:tcW w:w="1860" w:type="dxa"/>
            <w:tcMar>
              <w:top w:w="0" w:type="dxa"/>
              <w:bottom w:w="0" w:type="dxa"/>
            </w:tcMar>
            <w:vAlign w:val="center"/>
          </w:tcPr>
          <w:p w14:paraId="7585B4CD" w14:textId="77777777" w:rsidR="003E20DF" w:rsidRDefault="00F01A5C">
            <w:pPr>
              <w:keepNext/>
              <w:keepLines/>
              <w:spacing w:after="0" w:line="240" w:lineRule="auto"/>
              <w:jc w:val="right"/>
            </w:pPr>
            <w:r>
              <w:rPr>
                <w:sz w:val="18"/>
              </w:rPr>
              <w:t>59.606.513,52</w:t>
            </w:r>
          </w:p>
        </w:tc>
        <w:tc>
          <w:tcPr>
            <w:tcW w:w="1860" w:type="dxa"/>
            <w:tcMar>
              <w:top w:w="0" w:type="dxa"/>
              <w:bottom w:w="0" w:type="dxa"/>
            </w:tcMar>
            <w:vAlign w:val="center"/>
          </w:tcPr>
          <w:p w14:paraId="25761A47" w14:textId="77777777" w:rsidR="003E20DF" w:rsidRDefault="00F01A5C">
            <w:pPr>
              <w:keepNext/>
              <w:keepLines/>
              <w:spacing w:after="0" w:line="240" w:lineRule="auto"/>
              <w:jc w:val="right"/>
            </w:pPr>
            <w:r>
              <w:rPr>
                <w:sz w:val="18"/>
              </w:rPr>
              <w:t>13.083,17</w:t>
            </w:r>
          </w:p>
        </w:tc>
        <w:tc>
          <w:tcPr>
            <w:tcW w:w="700" w:type="dxa"/>
            <w:tcMar>
              <w:top w:w="0" w:type="dxa"/>
              <w:bottom w:w="0" w:type="dxa"/>
            </w:tcMar>
            <w:vAlign w:val="center"/>
          </w:tcPr>
          <w:p w14:paraId="3EDAEEBC" w14:textId="77777777" w:rsidR="003E20DF" w:rsidRDefault="00F01A5C">
            <w:pPr>
              <w:keepNext/>
              <w:keepLines/>
              <w:spacing w:after="0" w:line="240" w:lineRule="auto"/>
              <w:jc w:val="right"/>
            </w:pPr>
            <w:r>
              <w:rPr>
                <w:sz w:val="18"/>
              </w:rPr>
              <w:t>0,0</w:t>
            </w:r>
          </w:p>
        </w:tc>
      </w:tr>
    </w:tbl>
    <w:p w14:paraId="1B365662" w14:textId="77777777" w:rsidR="003E20DF" w:rsidRDefault="003E20DF">
      <w:pPr>
        <w:spacing w:after="0"/>
      </w:pPr>
    </w:p>
    <w:p w14:paraId="0E9CB769" w14:textId="77777777" w:rsidR="003E20DF" w:rsidRDefault="00F01A5C" w:rsidP="00E72F6C">
      <w:pPr>
        <w:ind w:firstLine="708"/>
        <w:jc w:val="both"/>
      </w:pPr>
      <w:r>
        <w:t>Povećanje u okviru ove šifre vezano je za procjenu vrijednosti poslovnih prostora iskazanih u prethodnim godinama s iznosom od 0,13 eura u iznosu 50.682.905,68 eura, povećanje vrijednosti zgrade ''Vege'' u iznosu 5.970.373,88 eura uslijed usklađenja s procijenjenom vrijednosti pri zamjeni nekretnina s RH, povećanje knjigovodstvene vrijednosti dijela stambenih objekata iskazanih u bilanci Grada u iznosu 2.931.730,94 eura uslijed izvršenih procjena, usklađenje prodajne vrijednosti stanova sa kupoprodajnom cijenom u iznosu 181.993,09 eura, te uknjiženja vrijednosti poslovnog prostora u ulici Bartula Kašića 8. Preostali iznos vezan je za razliku između knjigovodstvene i prodajne vrijednosti imovine (osobni automobil i mobilni uređaji)</w:t>
      </w:r>
    </w:p>
    <w:p w14:paraId="2D34E766" w14:textId="77777777" w:rsidR="003E20DF" w:rsidRDefault="00F01A5C" w:rsidP="00E72F6C">
      <w:pPr>
        <w:ind w:firstLine="708"/>
        <w:jc w:val="both"/>
      </w:pPr>
      <w:r>
        <w:t>Iskazano smanjenje na ovoj šifri u iznosu 12.562,50 eura rezultat je isknjiženja pogrešno evidentiranog računa kojim je uvećana vrijednost investicije u 2024. godini, a za koji je izvršen povrat sredstava u 2025., dok je preostali iznos razlika između knjigovodstvene i prodajne vrijednosti računalne opreme.</w:t>
      </w:r>
    </w:p>
    <w:p w14:paraId="619E0CFE" w14:textId="77777777" w:rsidR="003E20DF" w:rsidRDefault="003E20DF"/>
    <w:p w14:paraId="07655D6B" w14:textId="77777777" w:rsidR="003E20DF" w:rsidRDefault="00F01A5C">
      <w:pPr>
        <w:keepNext/>
        <w:spacing w:line="240" w:lineRule="auto"/>
        <w:jc w:val="center"/>
      </w:pPr>
      <w:r>
        <w:rPr>
          <w:sz w:val="28"/>
        </w:rPr>
        <w:t>Bilješka 108.</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20DF" w14:paraId="196CFF60" w14:textId="77777777">
        <w:trPr>
          <w:cantSplit/>
        </w:trPr>
        <w:tc>
          <w:tcPr>
            <w:tcW w:w="700" w:type="dxa"/>
            <w:shd w:val="clear" w:color="auto" w:fill="E7F0F9"/>
            <w:tcMar>
              <w:top w:w="0" w:type="dxa"/>
              <w:bottom w:w="0" w:type="dxa"/>
            </w:tcMar>
            <w:vAlign w:val="center"/>
          </w:tcPr>
          <w:p w14:paraId="56BD8FFC" w14:textId="77777777" w:rsidR="003E20DF" w:rsidRDefault="00F01A5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149A6A4" w14:textId="77777777" w:rsidR="003E20DF" w:rsidRDefault="00F01A5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18AB13A" w14:textId="77777777" w:rsidR="003E20DF" w:rsidRDefault="00F01A5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0BDDB23" w14:textId="77777777" w:rsidR="003E20DF" w:rsidRDefault="00F01A5C">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0E8C71C2" w14:textId="77777777" w:rsidR="003E20DF" w:rsidRDefault="00F01A5C">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3CF4E11E" w14:textId="77777777" w:rsidR="003E20DF" w:rsidRDefault="00F01A5C">
            <w:pPr>
              <w:keepNext/>
              <w:keepLines/>
              <w:spacing w:after="0" w:line="240" w:lineRule="auto"/>
              <w:jc w:val="center"/>
            </w:pPr>
            <w:r>
              <w:rPr>
                <w:b/>
                <w:sz w:val="18"/>
              </w:rPr>
              <w:t>Indeks (%)</w:t>
            </w:r>
          </w:p>
        </w:tc>
      </w:tr>
      <w:tr w:rsidR="003E20DF" w14:paraId="2321F155" w14:textId="77777777">
        <w:trPr>
          <w:cantSplit/>
          <w:trHeight w:val="560"/>
        </w:trPr>
        <w:tc>
          <w:tcPr>
            <w:tcW w:w="700" w:type="dxa"/>
            <w:tcMar>
              <w:top w:w="0" w:type="dxa"/>
              <w:bottom w:w="0" w:type="dxa"/>
            </w:tcMar>
            <w:vAlign w:val="center"/>
          </w:tcPr>
          <w:p w14:paraId="058DBBFA" w14:textId="77777777" w:rsidR="003E20DF" w:rsidRDefault="003E20DF">
            <w:pPr>
              <w:keepNext/>
              <w:keepLines/>
              <w:spacing w:after="0" w:line="240" w:lineRule="auto"/>
            </w:pPr>
          </w:p>
        </w:tc>
        <w:tc>
          <w:tcPr>
            <w:tcW w:w="3180" w:type="dxa"/>
            <w:tcMar>
              <w:top w:w="0" w:type="dxa"/>
              <w:bottom w:w="0" w:type="dxa"/>
            </w:tcMar>
            <w:vAlign w:val="center"/>
          </w:tcPr>
          <w:p w14:paraId="29711ED8" w14:textId="77777777" w:rsidR="003E20DF" w:rsidRDefault="00F01A5C">
            <w:pPr>
              <w:keepNext/>
              <w:keepLines/>
              <w:spacing w:after="0" w:line="240" w:lineRule="auto"/>
            </w:pPr>
            <w:r>
              <w:rPr>
                <w:sz w:val="18"/>
              </w:rPr>
              <w:t>Financijski instrumenti - dionice i udjeli u glavnici</w:t>
            </w:r>
          </w:p>
        </w:tc>
        <w:tc>
          <w:tcPr>
            <w:tcW w:w="700" w:type="dxa"/>
            <w:tcMar>
              <w:top w:w="0" w:type="dxa"/>
              <w:bottom w:w="0" w:type="dxa"/>
            </w:tcMar>
            <w:vAlign w:val="center"/>
          </w:tcPr>
          <w:p w14:paraId="73B900B5" w14:textId="77777777" w:rsidR="003E20DF" w:rsidRDefault="00F01A5C">
            <w:pPr>
              <w:keepNext/>
              <w:keepLines/>
              <w:spacing w:after="0" w:line="240" w:lineRule="auto"/>
            </w:pPr>
            <w:r>
              <w:rPr>
                <w:sz w:val="18"/>
              </w:rPr>
              <w:t>P013</w:t>
            </w:r>
          </w:p>
        </w:tc>
        <w:tc>
          <w:tcPr>
            <w:tcW w:w="1860" w:type="dxa"/>
            <w:tcMar>
              <w:top w:w="0" w:type="dxa"/>
              <w:bottom w:w="0" w:type="dxa"/>
            </w:tcMar>
            <w:vAlign w:val="center"/>
          </w:tcPr>
          <w:p w14:paraId="1B5D2175" w14:textId="77777777" w:rsidR="003E20DF" w:rsidRDefault="00F01A5C">
            <w:pPr>
              <w:keepNext/>
              <w:keepLines/>
              <w:spacing w:after="0" w:line="240" w:lineRule="auto"/>
              <w:jc w:val="right"/>
            </w:pPr>
            <w:r>
              <w:rPr>
                <w:sz w:val="18"/>
              </w:rPr>
              <w:t>0,15</w:t>
            </w:r>
          </w:p>
        </w:tc>
        <w:tc>
          <w:tcPr>
            <w:tcW w:w="1860" w:type="dxa"/>
            <w:tcMar>
              <w:top w:w="0" w:type="dxa"/>
              <w:bottom w:w="0" w:type="dxa"/>
            </w:tcMar>
            <w:vAlign w:val="center"/>
          </w:tcPr>
          <w:p w14:paraId="5ED9492A" w14:textId="77777777" w:rsidR="003E20DF" w:rsidRDefault="00F01A5C">
            <w:pPr>
              <w:keepNext/>
              <w:keepLines/>
              <w:spacing w:after="0" w:line="240" w:lineRule="auto"/>
              <w:jc w:val="right"/>
            </w:pPr>
            <w:r>
              <w:rPr>
                <w:sz w:val="18"/>
              </w:rPr>
              <w:t>49.693,96</w:t>
            </w:r>
          </w:p>
        </w:tc>
        <w:tc>
          <w:tcPr>
            <w:tcW w:w="700" w:type="dxa"/>
            <w:tcMar>
              <w:top w:w="0" w:type="dxa"/>
              <w:bottom w:w="0" w:type="dxa"/>
            </w:tcMar>
            <w:vAlign w:val="center"/>
          </w:tcPr>
          <w:p w14:paraId="50D8AAEC" w14:textId="77777777" w:rsidR="003E20DF" w:rsidRDefault="00F01A5C">
            <w:pPr>
              <w:keepNext/>
              <w:keepLines/>
              <w:spacing w:after="0" w:line="240" w:lineRule="auto"/>
              <w:jc w:val="right"/>
            </w:pPr>
            <w:r>
              <w:rPr>
                <w:sz w:val="18"/>
              </w:rPr>
              <w:t>&gt;&gt;100</w:t>
            </w:r>
          </w:p>
        </w:tc>
      </w:tr>
    </w:tbl>
    <w:p w14:paraId="68341C4C" w14:textId="77777777" w:rsidR="003E20DF" w:rsidRDefault="003E20DF">
      <w:pPr>
        <w:spacing w:after="0"/>
      </w:pPr>
    </w:p>
    <w:p w14:paraId="322E8852" w14:textId="77777777" w:rsidR="003E20DF" w:rsidRDefault="00F01A5C" w:rsidP="00E72F6C">
      <w:pPr>
        <w:ind w:firstLine="708"/>
        <w:jc w:val="both"/>
      </w:pPr>
      <w:r>
        <w:t>Iskazano povećanje od 0,15 eura vezano je za uskladu temeljnog kapitala društva Obnovljivi izvori energije d.o.o., dok je smanjenje vezano za usklađenje temeljnog kapitala i visine nominalnih udjela društava Ukop d.o.o., Športski objekti d.o.o., Tržnica d.o.o. i Zavod za stanovanje d.o.o. u iznosu 164,46 eura te povlačenje dionica s burze Magma d.d. u iznosu 49.529,50 eura</w:t>
      </w:r>
    </w:p>
    <w:p w14:paraId="3E307D2B" w14:textId="77777777" w:rsidR="003E20DF" w:rsidRDefault="003E20DF"/>
    <w:p w14:paraId="653EAA1E" w14:textId="77777777" w:rsidR="003E20DF" w:rsidRDefault="00F01A5C">
      <w:pPr>
        <w:keepNext/>
        <w:spacing w:line="240" w:lineRule="auto"/>
        <w:jc w:val="center"/>
      </w:pPr>
      <w:r>
        <w:rPr>
          <w:sz w:val="28"/>
        </w:rPr>
        <w:lastRenderedPageBreak/>
        <w:t>Bilješka 109.</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20DF" w14:paraId="2C522DB3" w14:textId="77777777">
        <w:trPr>
          <w:cantSplit/>
        </w:trPr>
        <w:tc>
          <w:tcPr>
            <w:tcW w:w="700" w:type="dxa"/>
            <w:shd w:val="clear" w:color="auto" w:fill="E7F0F9"/>
            <w:tcMar>
              <w:top w:w="0" w:type="dxa"/>
              <w:bottom w:w="0" w:type="dxa"/>
            </w:tcMar>
            <w:vAlign w:val="center"/>
          </w:tcPr>
          <w:p w14:paraId="30113663" w14:textId="77777777" w:rsidR="003E20DF" w:rsidRDefault="00F01A5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F60469D" w14:textId="77777777" w:rsidR="003E20DF" w:rsidRDefault="00F01A5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B81B5EC" w14:textId="77777777" w:rsidR="003E20DF" w:rsidRDefault="00F01A5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A2D041D" w14:textId="77777777" w:rsidR="003E20DF" w:rsidRDefault="00F01A5C">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3C039D29" w14:textId="77777777" w:rsidR="003E20DF" w:rsidRDefault="00F01A5C">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71B0F274" w14:textId="77777777" w:rsidR="003E20DF" w:rsidRDefault="00F01A5C">
            <w:pPr>
              <w:keepNext/>
              <w:keepLines/>
              <w:spacing w:after="0" w:line="240" w:lineRule="auto"/>
              <w:jc w:val="center"/>
            </w:pPr>
            <w:r>
              <w:rPr>
                <w:b/>
                <w:sz w:val="18"/>
              </w:rPr>
              <w:t>Indeks (%)</w:t>
            </w:r>
          </w:p>
        </w:tc>
      </w:tr>
      <w:tr w:rsidR="003E20DF" w14:paraId="305DD389" w14:textId="77777777">
        <w:trPr>
          <w:cantSplit/>
          <w:trHeight w:val="560"/>
        </w:trPr>
        <w:tc>
          <w:tcPr>
            <w:tcW w:w="700" w:type="dxa"/>
            <w:tcMar>
              <w:top w:w="0" w:type="dxa"/>
              <w:bottom w:w="0" w:type="dxa"/>
            </w:tcMar>
            <w:vAlign w:val="center"/>
          </w:tcPr>
          <w:p w14:paraId="67AFF2AF" w14:textId="77777777" w:rsidR="003E20DF" w:rsidRDefault="003E20DF">
            <w:pPr>
              <w:keepNext/>
              <w:keepLines/>
              <w:spacing w:after="0" w:line="240" w:lineRule="auto"/>
            </w:pPr>
          </w:p>
        </w:tc>
        <w:tc>
          <w:tcPr>
            <w:tcW w:w="3180" w:type="dxa"/>
            <w:tcMar>
              <w:top w:w="0" w:type="dxa"/>
              <w:bottom w:w="0" w:type="dxa"/>
            </w:tcMar>
            <w:vAlign w:val="center"/>
          </w:tcPr>
          <w:p w14:paraId="63FE086D" w14:textId="77777777" w:rsidR="003E20DF" w:rsidRDefault="00F01A5C">
            <w:pPr>
              <w:keepNext/>
              <w:keepLines/>
              <w:spacing w:after="0" w:line="240" w:lineRule="auto"/>
            </w:pPr>
            <w:r>
              <w:rPr>
                <w:sz w:val="18"/>
              </w:rPr>
              <w:t>Neproizvedena dugotrajna imovina</w:t>
            </w:r>
          </w:p>
        </w:tc>
        <w:tc>
          <w:tcPr>
            <w:tcW w:w="700" w:type="dxa"/>
            <w:tcMar>
              <w:top w:w="0" w:type="dxa"/>
              <w:bottom w:w="0" w:type="dxa"/>
            </w:tcMar>
            <w:vAlign w:val="center"/>
          </w:tcPr>
          <w:p w14:paraId="23962A2C" w14:textId="77777777" w:rsidR="003E20DF" w:rsidRDefault="00F01A5C">
            <w:pPr>
              <w:keepNext/>
              <w:keepLines/>
              <w:spacing w:after="0" w:line="240" w:lineRule="auto"/>
            </w:pPr>
            <w:r>
              <w:rPr>
                <w:sz w:val="18"/>
              </w:rPr>
              <w:t>P017</w:t>
            </w:r>
          </w:p>
        </w:tc>
        <w:tc>
          <w:tcPr>
            <w:tcW w:w="1860" w:type="dxa"/>
            <w:tcMar>
              <w:top w:w="0" w:type="dxa"/>
              <w:bottom w:w="0" w:type="dxa"/>
            </w:tcMar>
            <w:vAlign w:val="center"/>
          </w:tcPr>
          <w:p w14:paraId="52DC9507" w14:textId="77777777" w:rsidR="003E20DF" w:rsidRDefault="00F01A5C">
            <w:pPr>
              <w:keepNext/>
              <w:keepLines/>
              <w:spacing w:after="0" w:line="240" w:lineRule="auto"/>
              <w:jc w:val="right"/>
            </w:pPr>
            <w:r>
              <w:rPr>
                <w:sz w:val="18"/>
              </w:rPr>
              <w:t>13.439.670,56</w:t>
            </w:r>
          </w:p>
        </w:tc>
        <w:tc>
          <w:tcPr>
            <w:tcW w:w="1860" w:type="dxa"/>
            <w:tcMar>
              <w:top w:w="0" w:type="dxa"/>
              <w:bottom w:w="0" w:type="dxa"/>
            </w:tcMar>
            <w:vAlign w:val="center"/>
          </w:tcPr>
          <w:p w14:paraId="734E0C79" w14:textId="77777777" w:rsidR="003E20DF" w:rsidRDefault="00F01A5C">
            <w:pPr>
              <w:keepNext/>
              <w:keepLines/>
              <w:spacing w:after="0" w:line="240" w:lineRule="auto"/>
              <w:jc w:val="right"/>
            </w:pPr>
            <w:r>
              <w:rPr>
                <w:sz w:val="18"/>
              </w:rPr>
              <w:t>0,00</w:t>
            </w:r>
          </w:p>
        </w:tc>
        <w:tc>
          <w:tcPr>
            <w:tcW w:w="700" w:type="dxa"/>
            <w:tcMar>
              <w:top w:w="0" w:type="dxa"/>
              <w:bottom w:w="0" w:type="dxa"/>
            </w:tcMar>
            <w:vAlign w:val="center"/>
          </w:tcPr>
          <w:p w14:paraId="1441837B" w14:textId="77777777" w:rsidR="003E20DF" w:rsidRDefault="00F01A5C">
            <w:pPr>
              <w:keepNext/>
              <w:keepLines/>
              <w:spacing w:after="0" w:line="240" w:lineRule="auto"/>
              <w:jc w:val="right"/>
            </w:pPr>
            <w:r>
              <w:rPr>
                <w:sz w:val="18"/>
              </w:rPr>
              <w:t>0</w:t>
            </w:r>
          </w:p>
        </w:tc>
      </w:tr>
    </w:tbl>
    <w:p w14:paraId="1A88FE0C" w14:textId="77777777" w:rsidR="003E20DF" w:rsidRDefault="003E20DF">
      <w:pPr>
        <w:spacing w:after="0"/>
      </w:pPr>
    </w:p>
    <w:p w14:paraId="1486CC95" w14:textId="77777777" w:rsidR="003E20DF" w:rsidRDefault="00F01A5C" w:rsidP="00E72F6C">
      <w:pPr>
        <w:ind w:firstLine="708"/>
        <w:jc w:val="both"/>
      </w:pPr>
      <w:r>
        <w:t>Iskazano povećanje vezano je za evidentiranje zemljišta u industrijskoj zoni Nemetin vrijednosti 12.900.000,00 eura, darovanog u 2024. od strane RH, zemljišta za koja nije bila iskazana vrijednost u poslovnim knjigama Grada Osijeka, a koja su tijekom 2025. godine prodana u iznosu 518.870,56 eura te zemljišta darovanog od strane Hotela Royal (prolaz) vrijednosti 20.800,00 eura.</w:t>
      </w:r>
    </w:p>
    <w:p w14:paraId="126328C7" w14:textId="77777777" w:rsidR="003E20DF" w:rsidRDefault="003E20DF"/>
    <w:p w14:paraId="01201A10" w14:textId="77777777" w:rsidR="003E20DF" w:rsidRDefault="00F01A5C">
      <w:pPr>
        <w:keepNext/>
        <w:spacing w:line="240" w:lineRule="auto"/>
        <w:jc w:val="center"/>
      </w:pPr>
      <w:r>
        <w:rPr>
          <w:sz w:val="28"/>
        </w:rPr>
        <w:t>Bilješka 110.</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20DF" w14:paraId="517C9869" w14:textId="77777777">
        <w:trPr>
          <w:cantSplit/>
        </w:trPr>
        <w:tc>
          <w:tcPr>
            <w:tcW w:w="700" w:type="dxa"/>
            <w:shd w:val="clear" w:color="auto" w:fill="E7F0F9"/>
            <w:tcMar>
              <w:top w:w="0" w:type="dxa"/>
              <w:bottom w:w="0" w:type="dxa"/>
            </w:tcMar>
            <w:vAlign w:val="center"/>
          </w:tcPr>
          <w:p w14:paraId="47947B07" w14:textId="77777777" w:rsidR="003E20DF" w:rsidRDefault="00F01A5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640A39F" w14:textId="77777777" w:rsidR="003E20DF" w:rsidRDefault="00F01A5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8D1D52B" w14:textId="77777777" w:rsidR="003E20DF" w:rsidRDefault="00F01A5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4EB9442" w14:textId="77777777" w:rsidR="003E20DF" w:rsidRDefault="00F01A5C">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1CA38650" w14:textId="77777777" w:rsidR="003E20DF" w:rsidRDefault="00F01A5C">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486478D6" w14:textId="77777777" w:rsidR="003E20DF" w:rsidRDefault="00F01A5C">
            <w:pPr>
              <w:keepNext/>
              <w:keepLines/>
              <w:spacing w:after="0" w:line="240" w:lineRule="auto"/>
              <w:jc w:val="center"/>
            </w:pPr>
            <w:r>
              <w:rPr>
                <w:b/>
                <w:sz w:val="18"/>
              </w:rPr>
              <w:t>Indeks (%)</w:t>
            </w:r>
          </w:p>
        </w:tc>
      </w:tr>
      <w:tr w:rsidR="003E20DF" w14:paraId="2047BC41" w14:textId="77777777">
        <w:trPr>
          <w:cantSplit/>
          <w:trHeight w:val="560"/>
        </w:trPr>
        <w:tc>
          <w:tcPr>
            <w:tcW w:w="700" w:type="dxa"/>
            <w:tcMar>
              <w:top w:w="0" w:type="dxa"/>
              <w:bottom w:w="0" w:type="dxa"/>
            </w:tcMar>
            <w:vAlign w:val="center"/>
          </w:tcPr>
          <w:p w14:paraId="33EFD8D9" w14:textId="77777777" w:rsidR="003E20DF" w:rsidRDefault="003E20DF">
            <w:pPr>
              <w:keepNext/>
              <w:keepLines/>
              <w:spacing w:after="0" w:line="240" w:lineRule="auto"/>
            </w:pPr>
          </w:p>
        </w:tc>
        <w:tc>
          <w:tcPr>
            <w:tcW w:w="3180" w:type="dxa"/>
            <w:tcMar>
              <w:top w:w="0" w:type="dxa"/>
              <w:bottom w:w="0" w:type="dxa"/>
            </w:tcMar>
            <w:vAlign w:val="center"/>
          </w:tcPr>
          <w:p w14:paraId="135EDB78" w14:textId="77777777" w:rsidR="003E20DF" w:rsidRDefault="00F01A5C">
            <w:pPr>
              <w:keepNext/>
              <w:keepLines/>
              <w:spacing w:after="0" w:line="240" w:lineRule="auto"/>
            </w:pPr>
            <w:r>
              <w:rPr>
                <w:sz w:val="18"/>
              </w:rPr>
              <w:t>Proizvedena dugotrajna imovina</w:t>
            </w:r>
          </w:p>
        </w:tc>
        <w:tc>
          <w:tcPr>
            <w:tcW w:w="700" w:type="dxa"/>
            <w:tcMar>
              <w:top w:w="0" w:type="dxa"/>
              <w:bottom w:w="0" w:type="dxa"/>
            </w:tcMar>
            <w:vAlign w:val="center"/>
          </w:tcPr>
          <w:p w14:paraId="39164DE1" w14:textId="77777777" w:rsidR="003E20DF" w:rsidRDefault="00F01A5C">
            <w:pPr>
              <w:keepNext/>
              <w:keepLines/>
              <w:spacing w:after="0" w:line="240" w:lineRule="auto"/>
            </w:pPr>
            <w:r>
              <w:rPr>
                <w:sz w:val="18"/>
              </w:rPr>
              <w:t>P018</w:t>
            </w:r>
          </w:p>
        </w:tc>
        <w:tc>
          <w:tcPr>
            <w:tcW w:w="1860" w:type="dxa"/>
            <w:tcMar>
              <w:top w:w="0" w:type="dxa"/>
              <w:bottom w:w="0" w:type="dxa"/>
            </w:tcMar>
            <w:vAlign w:val="center"/>
          </w:tcPr>
          <w:p w14:paraId="27B68EED" w14:textId="77777777" w:rsidR="003E20DF" w:rsidRDefault="00F01A5C">
            <w:pPr>
              <w:keepNext/>
              <w:keepLines/>
              <w:spacing w:after="0" w:line="240" w:lineRule="auto"/>
              <w:jc w:val="right"/>
            </w:pPr>
            <w:r>
              <w:rPr>
                <w:sz w:val="18"/>
              </w:rPr>
              <w:t>295.285,79</w:t>
            </w:r>
          </w:p>
        </w:tc>
        <w:tc>
          <w:tcPr>
            <w:tcW w:w="1860" w:type="dxa"/>
            <w:tcMar>
              <w:top w:w="0" w:type="dxa"/>
              <w:bottom w:w="0" w:type="dxa"/>
            </w:tcMar>
            <w:vAlign w:val="center"/>
          </w:tcPr>
          <w:p w14:paraId="2195D9F0" w14:textId="77777777" w:rsidR="003E20DF" w:rsidRDefault="00F01A5C">
            <w:pPr>
              <w:keepNext/>
              <w:keepLines/>
              <w:spacing w:after="0" w:line="240" w:lineRule="auto"/>
              <w:jc w:val="right"/>
            </w:pPr>
            <w:r>
              <w:rPr>
                <w:sz w:val="18"/>
              </w:rPr>
              <w:t>108.309,15</w:t>
            </w:r>
          </w:p>
        </w:tc>
        <w:tc>
          <w:tcPr>
            <w:tcW w:w="700" w:type="dxa"/>
            <w:tcMar>
              <w:top w:w="0" w:type="dxa"/>
              <w:bottom w:w="0" w:type="dxa"/>
            </w:tcMar>
            <w:vAlign w:val="center"/>
          </w:tcPr>
          <w:p w14:paraId="0CD69CBD" w14:textId="77777777" w:rsidR="003E20DF" w:rsidRDefault="00F01A5C">
            <w:pPr>
              <w:keepNext/>
              <w:keepLines/>
              <w:spacing w:after="0" w:line="240" w:lineRule="auto"/>
              <w:jc w:val="right"/>
            </w:pPr>
            <w:r>
              <w:rPr>
                <w:sz w:val="18"/>
              </w:rPr>
              <w:t>36,7</w:t>
            </w:r>
          </w:p>
        </w:tc>
      </w:tr>
    </w:tbl>
    <w:p w14:paraId="7B0DC8ED" w14:textId="77777777" w:rsidR="003E20DF" w:rsidRDefault="003E20DF">
      <w:pPr>
        <w:spacing w:after="0"/>
      </w:pPr>
    </w:p>
    <w:p w14:paraId="5AE21898" w14:textId="77777777" w:rsidR="003E20DF" w:rsidRDefault="00F01A5C" w:rsidP="00E72F6C">
      <w:pPr>
        <w:ind w:firstLine="708"/>
        <w:jc w:val="both"/>
      </w:pPr>
      <w:r>
        <w:t>Iskazano povećanje u okviru ove šifre vezano je za uknjiženje poslovnih objekata Pučke kuhinje u iznosu 213.302,52 eura te poslovnih i stambenih prostora u iznosu 81.983,27 eura. Smanjenje je vezano za prijenos ulaganja iz ranijih godina proračunskom korisniku u iznosu 78.822,27 eura, isknjiženje poslovnih prostora temeljem sudske odluke i usklađenja evidencija u iznosu 16.706,63 eura, isknjiženje stanova temeljem sudske odluke u iznosu 11.648,20 eura i prijenos opreme MUP-u u iznosu 1.132,05 eura</w:t>
      </w:r>
    </w:p>
    <w:p w14:paraId="2ED659A9" w14:textId="77777777" w:rsidR="003E20DF" w:rsidRDefault="003E20DF"/>
    <w:p w14:paraId="703A6515" w14:textId="77777777" w:rsidR="003E20DF" w:rsidRDefault="00F01A5C">
      <w:pPr>
        <w:keepNext/>
        <w:spacing w:line="240" w:lineRule="auto"/>
        <w:jc w:val="center"/>
      </w:pPr>
      <w:r>
        <w:rPr>
          <w:sz w:val="28"/>
        </w:rPr>
        <w:t>Bilješka 111.</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20DF" w14:paraId="1081E03A" w14:textId="77777777">
        <w:trPr>
          <w:cantSplit/>
        </w:trPr>
        <w:tc>
          <w:tcPr>
            <w:tcW w:w="700" w:type="dxa"/>
            <w:shd w:val="clear" w:color="auto" w:fill="E7F0F9"/>
            <w:tcMar>
              <w:top w:w="0" w:type="dxa"/>
              <w:bottom w:w="0" w:type="dxa"/>
            </w:tcMar>
            <w:vAlign w:val="center"/>
          </w:tcPr>
          <w:p w14:paraId="0B44DBC8" w14:textId="77777777" w:rsidR="003E20DF" w:rsidRDefault="00F01A5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BB03296" w14:textId="77777777" w:rsidR="003E20DF" w:rsidRDefault="00F01A5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91A7C4" w14:textId="77777777" w:rsidR="003E20DF" w:rsidRDefault="00F01A5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BDDED09" w14:textId="77777777" w:rsidR="003E20DF" w:rsidRDefault="00F01A5C">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7BDB3C25" w14:textId="77777777" w:rsidR="003E20DF" w:rsidRDefault="00F01A5C">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249F5B64" w14:textId="77777777" w:rsidR="003E20DF" w:rsidRDefault="00F01A5C">
            <w:pPr>
              <w:keepNext/>
              <w:keepLines/>
              <w:spacing w:after="0" w:line="240" w:lineRule="auto"/>
              <w:jc w:val="center"/>
            </w:pPr>
            <w:r>
              <w:rPr>
                <w:b/>
                <w:sz w:val="18"/>
              </w:rPr>
              <w:t>Indeks (%)</w:t>
            </w:r>
          </w:p>
        </w:tc>
      </w:tr>
      <w:tr w:rsidR="003E20DF" w14:paraId="68C5AA02" w14:textId="77777777">
        <w:trPr>
          <w:cantSplit/>
          <w:trHeight w:val="560"/>
        </w:trPr>
        <w:tc>
          <w:tcPr>
            <w:tcW w:w="700" w:type="dxa"/>
            <w:tcMar>
              <w:top w:w="0" w:type="dxa"/>
              <w:bottom w:w="0" w:type="dxa"/>
            </w:tcMar>
            <w:vAlign w:val="center"/>
          </w:tcPr>
          <w:p w14:paraId="6183BCD4" w14:textId="77777777" w:rsidR="003E20DF" w:rsidRDefault="003E20DF">
            <w:pPr>
              <w:keepNext/>
              <w:keepLines/>
              <w:spacing w:after="0" w:line="240" w:lineRule="auto"/>
            </w:pPr>
          </w:p>
        </w:tc>
        <w:tc>
          <w:tcPr>
            <w:tcW w:w="3180" w:type="dxa"/>
            <w:tcMar>
              <w:top w:w="0" w:type="dxa"/>
              <w:bottom w:w="0" w:type="dxa"/>
            </w:tcMar>
            <w:vAlign w:val="center"/>
          </w:tcPr>
          <w:p w14:paraId="15EFEDDB" w14:textId="77777777" w:rsidR="003E20DF" w:rsidRDefault="00F01A5C">
            <w:pPr>
              <w:keepNext/>
              <w:keepLines/>
              <w:spacing w:after="0" w:line="240" w:lineRule="auto"/>
            </w:pPr>
            <w:r>
              <w:rPr>
                <w:sz w:val="18"/>
              </w:rPr>
              <w:t>Potraživanja za prihode poslovanja</w:t>
            </w:r>
          </w:p>
        </w:tc>
        <w:tc>
          <w:tcPr>
            <w:tcW w:w="700" w:type="dxa"/>
            <w:tcMar>
              <w:top w:w="0" w:type="dxa"/>
              <w:bottom w:w="0" w:type="dxa"/>
            </w:tcMar>
            <w:vAlign w:val="center"/>
          </w:tcPr>
          <w:p w14:paraId="3084A00F" w14:textId="77777777" w:rsidR="003E20DF" w:rsidRDefault="00F01A5C">
            <w:pPr>
              <w:keepNext/>
              <w:keepLines/>
              <w:spacing w:after="0" w:line="240" w:lineRule="auto"/>
            </w:pPr>
            <w:r>
              <w:rPr>
                <w:sz w:val="18"/>
              </w:rPr>
              <w:t>P029</w:t>
            </w:r>
          </w:p>
        </w:tc>
        <w:tc>
          <w:tcPr>
            <w:tcW w:w="1860" w:type="dxa"/>
            <w:tcMar>
              <w:top w:w="0" w:type="dxa"/>
              <w:bottom w:w="0" w:type="dxa"/>
            </w:tcMar>
            <w:vAlign w:val="center"/>
          </w:tcPr>
          <w:p w14:paraId="6AFD2D73" w14:textId="77777777" w:rsidR="003E20DF" w:rsidRDefault="00F01A5C">
            <w:pPr>
              <w:keepNext/>
              <w:keepLines/>
              <w:spacing w:after="0" w:line="240" w:lineRule="auto"/>
              <w:jc w:val="right"/>
            </w:pPr>
            <w:r>
              <w:rPr>
                <w:sz w:val="18"/>
              </w:rPr>
              <w:t>0,00</w:t>
            </w:r>
          </w:p>
        </w:tc>
        <w:tc>
          <w:tcPr>
            <w:tcW w:w="1860" w:type="dxa"/>
            <w:tcMar>
              <w:top w:w="0" w:type="dxa"/>
              <w:bottom w:w="0" w:type="dxa"/>
            </w:tcMar>
            <w:vAlign w:val="center"/>
          </w:tcPr>
          <w:p w14:paraId="0DC571FE" w14:textId="77777777" w:rsidR="003E20DF" w:rsidRDefault="00F01A5C">
            <w:pPr>
              <w:keepNext/>
              <w:keepLines/>
              <w:spacing w:after="0" w:line="240" w:lineRule="auto"/>
              <w:jc w:val="right"/>
            </w:pPr>
            <w:r>
              <w:rPr>
                <w:sz w:val="18"/>
              </w:rPr>
              <w:t>69.477,76</w:t>
            </w:r>
          </w:p>
        </w:tc>
        <w:tc>
          <w:tcPr>
            <w:tcW w:w="700" w:type="dxa"/>
            <w:tcMar>
              <w:top w:w="0" w:type="dxa"/>
              <w:bottom w:w="0" w:type="dxa"/>
            </w:tcMar>
            <w:vAlign w:val="center"/>
          </w:tcPr>
          <w:p w14:paraId="6AB2CF40" w14:textId="77777777" w:rsidR="003E20DF" w:rsidRDefault="00F01A5C">
            <w:pPr>
              <w:keepNext/>
              <w:keepLines/>
              <w:spacing w:after="0" w:line="240" w:lineRule="auto"/>
              <w:jc w:val="right"/>
            </w:pPr>
            <w:r>
              <w:rPr>
                <w:sz w:val="18"/>
              </w:rPr>
              <w:t>-</w:t>
            </w:r>
          </w:p>
        </w:tc>
      </w:tr>
    </w:tbl>
    <w:p w14:paraId="0217EDD1" w14:textId="77777777" w:rsidR="003E20DF" w:rsidRDefault="003E20DF">
      <w:pPr>
        <w:spacing w:after="0"/>
      </w:pPr>
    </w:p>
    <w:p w14:paraId="6B0B0B4B" w14:textId="77777777" w:rsidR="003E20DF" w:rsidRDefault="00F01A5C" w:rsidP="005C74B6">
      <w:pPr>
        <w:jc w:val="both"/>
      </w:pPr>
      <w:r>
        <w:t>Smanjenje u okviru ove šifre se odnosi na isknjiženje nenaplativih potraživanja sukladno odluci gradonačelnika u okviru provedenog godišnjeg popisa za 2024.</w:t>
      </w:r>
    </w:p>
    <w:p w14:paraId="21BD2813" w14:textId="77777777" w:rsidR="003E20DF" w:rsidRDefault="003E20DF"/>
    <w:p w14:paraId="70B713A0" w14:textId="77777777" w:rsidR="003E20DF" w:rsidRDefault="00F01A5C">
      <w:pPr>
        <w:keepNext/>
        <w:spacing w:line="240" w:lineRule="auto"/>
        <w:jc w:val="center"/>
      </w:pPr>
      <w:r>
        <w:rPr>
          <w:sz w:val="28"/>
        </w:rPr>
        <w:lastRenderedPageBreak/>
        <w:t>Bilješka 112.</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3E20DF" w14:paraId="63220721" w14:textId="77777777">
        <w:trPr>
          <w:cantSplit/>
        </w:trPr>
        <w:tc>
          <w:tcPr>
            <w:tcW w:w="700" w:type="dxa"/>
            <w:shd w:val="clear" w:color="auto" w:fill="E7F0F9"/>
            <w:tcMar>
              <w:top w:w="0" w:type="dxa"/>
              <w:bottom w:w="0" w:type="dxa"/>
            </w:tcMar>
            <w:vAlign w:val="center"/>
          </w:tcPr>
          <w:p w14:paraId="3A78E034" w14:textId="77777777" w:rsidR="003E20DF" w:rsidRDefault="00F01A5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A3E0721" w14:textId="77777777" w:rsidR="003E20DF" w:rsidRDefault="00F01A5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8A44778" w14:textId="77777777" w:rsidR="003E20DF" w:rsidRDefault="00F01A5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1568F33" w14:textId="77777777" w:rsidR="003E20DF" w:rsidRDefault="00F01A5C">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50C071BE" w14:textId="77777777" w:rsidR="003E20DF" w:rsidRDefault="00F01A5C">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01D8542E" w14:textId="77777777" w:rsidR="003E20DF" w:rsidRDefault="00F01A5C">
            <w:pPr>
              <w:keepNext/>
              <w:keepLines/>
              <w:spacing w:after="0" w:line="240" w:lineRule="auto"/>
              <w:jc w:val="center"/>
            </w:pPr>
            <w:r>
              <w:rPr>
                <w:b/>
                <w:sz w:val="18"/>
              </w:rPr>
              <w:t>Indeks (%)</w:t>
            </w:r>
          </w:p>
        </w:tc>
      </w:tr>
      <w:tr w:rsidR="003E20DF" w14:paraId="38DCBA3B" w14:textId="77777777">
        <w:trPr>
          <w:cantSplit/>
          <w:trHeight w:val="560"/>
        </w:trPr>
        <w:tc>
          <w:tcPr>
            <w:tcW w:w="700" w:type="dxa"/>
            <w:tcMar>
              <w:top w:w="0" w:type="dxa"/>
              <w:bottom w:w="0" w:type="dxa"/>
            </w:tcMar>
            <w:vAlign w:val="center"/>
          </w:tcPr>
          <w:p w14:paraId="2B787374" w14:textId="77777777" w:rsidR="003E20DF" w:rsidRDefault="003E20DF">
            <w:pPr>
              <w:keepNext/>
              <w:keepLines/>
              <w:spacing w:after="0" w:line="240" w:lineRule="auto"/>
            </w:pPr>
          </w:p>
        </w:tc>
        <w:tc>
          <w:tcPr>
            <w:tcW w:w="3180" w:type="dxa"/>
            <w:tcMar>
              <w:top w:w="0" w:type="dxa"/>
              <w:bottom w:w="0" w:type="dxa"/>
            </w:tcMar>
            <w:vAlign w:val="center"/>
          </w:tcPr>
          <w:p w14:paraId="46F1FA4A" w14:textId="77777777" w:rsidR="003E20DF" w:rsidRDefault="00F01A5C">
            <w:pPr>
              <w:keepNext/>
              <w:keepLines/>
              <w:spacing w:after="0" w:line="240" w:lineRule="auto"/>
            </w:pPr>
            <w:r>
              <w:rPr>
                <w:sz w:val="18"/>
              </w:rPr>
              <w:t>Obveze za rashode poslovanja</w:t>
            </w:r>
          </w:p>
        </w:tc>
        <w:tc>
          <w:tcPr>
            <w:tcW w:w="700" w:type="dxa"/>
            <w:tcMar>
              <w:top w:w="0" w:type="dxa"/>
              <w:bottom w:w="0" w:type="dxa"/>
            </w:tcMar>
            <w:vAlign w:val="center"/>
          </w:tcPr>
          <w:p w14:paraId="4C1BB7DB" w14:textId="77777777" w:rsidR="003E20DF" w:rsidRDefault="00F01A5C">
            <w:pPr>
              <w:keepNext/>
              <w:keepLines/>
              <w:spacing w:after="0" w:line="240" w:lineRule="auto"/>
            </w:pPr>
            <w:r>
              <w:rPr>
                <w:sz w:val="18"/>
              </w:rPr>
              <w:t>P035</w:t>
            </w:r>
          </w:p>
        </w:tc>
        <w:tc>
          <w:tcPr>
            <w:tcW w:w="1860" w:type="dxa"/>
            <w:tcMar>
              <w:top w:w="0" w:type="dxa"/>
              <w:bottom w:w="0" w:type="dxa"/>
            </w:tcMar>
            <w:vAlign w:val="center"/>
          </w:tcPr>
          <w:p w14:paraId="5E6937A1" w14:textId="77777777" w:rsidR="003E20DF" w:rsidRDefault="00F01A5C">
            <w:pPr>
              <w:keepNext/>
              <w:keepLines/>
              <w:spacing w:after="0" w:line="240" w:lineRule="auto"/>
              <w:jc w:val="right"/>
            </w:pPr>
            <w:r>
              <w:rPr>
                <w:sz w:val="18"/>
              </w:rPr>
              <w:t>5.432,24</w:t>
            </w:r>
          </w:p>
        </w:tc>
        <w:tc>
          <w:tcPr>
            <w:tcW w:w="1860" w:type="dxa"/>
            <w:tcMar>
              <w:top w:w="0" w:type="dxa"/>
              <w:bottom w:w="0" w:type="dxa"/>
            </w:tcMar>
            <w:vAlign w:val="center"/>
          </w:tcPr>
          <w:p w14:paraId="05880AFC" w14:textId="77777777" w:rsidR="003E20DF" w:rsidRDefault="00F01A5C">
            <w:pPr>
              <w:keepNext/>
              <w:keepLines/>
              <w:spacing w:after="0" w:line="240" w:lineRule="auto"/>
              <w:jc w:val="right"/>
            </w:pPr>
            <w:r>
              <w:rPr>
                <w:sz w:val="18"/>
              </w:rPr>
              <w:t>18.043,80</w:t>
            </w:r>
          </w:p>
        </w:tc>
        <w:tc>
          <w:tcPr>
            <w:tcW w:w="700" w:type="dxa"/>
            <w:tcMar>
              <w:top w:w="0" w:type="dxa"/>
              <w:bottom w:w="0" w:type="dxa"/>
            </w:tcMar>
            <w:vAlign w:val="center"/>
          </w:tcPr>
          <w:p w14:paraId="4F1A23D0" w14:textId="77777777" w:rsidR="003E20DF" w:rsidRDefault="00F01A5C">
            <w:pPr>
              <w:keepNext/>
              <w:keepLines/>
              <w:spacing w:after="0" w:line="240" w:lineRule="auto"/>
              <w:jc w:val="right"/>
            </w:pPr>
            <w:r>
              <w:rPr>
                <w:sz w:val="18"/>
              </w:rPr>
              <w:t>332,2</w:t>
            </w:r>
          </w:p>
        </w:tc>
      </w:tr>
    </w:tbl>
    <w:p w14:paraId="06E130D8" w14:textId="77777777" w:rsidR="003E20DF" w:rsidRDefault="003E20DF">
      <w:pPr>
        <w:spacing w:after="0"/>
      </w:pPr>
    </w:p>
    <w:p w14:paraId="081B85EB" w14:textId="77777777" w:rsidR="003E20DF" w:rsidRDefault="00F01A5C" w:rsidP="00E72F6C">
      <w:pPr>
        <w:ind w:firstLine="708"/>
        <w:jc w:val="both"/>
      </w:pPr>
      <w:r>
        <w:t>Iskazano smanjenje na ovoj šifri se odnosi na smanjenje obveza prema GPP d.o.o. Osijek za prijevoz učenika u prosincu 2024. koji je evidentiran u Glavnoj knjizi Grada, a u 2024. je bio obveza proračunskih korisnika-osnovnih škola, dok je povećanje vezano za obvezu povrata sredstava prihodovanih u prethodnoj godini s osnova predujma po projektima Školska shema voća i mlijeka i 3,2,1, Kreni.</w:t>
      </w:r>
    </w:p>
    <w:p w14:paraId="22ED4BBC" w14:textId="77777777" w:rsidR="003E20DF" w:rsidRDefault="003E20DF"/>
    <w:p w14:paraId="047F2A17" w14:textId="77777777" w:rsidR="003E20DF" w:rsidRDefault="00F01A5C">
      <w:pPr>
        <w:keepNext/>
        <w:spacing w:line="240" w:lineRule="auto"/>
        <w:jc w:val="center"/>
      </w:pPr>
      <w:r>
        <w:rPr>
          <w:b/>
          <w:sz w:val="28"/>
        </w:rPr>
        <w:t>Izvještaj o obvezama</w:t>
      </w:r>
    </w:p>
    <w:p w14:paraId="1D7E7013" w14:textId="77777777" w:rsidR="003E20DF" w:rsidRDefault="00F01A5C">
      <w:pPr>
        <w:keepNext/>
        <w:spacing w:line="240" w:lineRule="auto"/>
        <w:jc w:val="center"/>
      </w:pPr>
      <w:r>
        <w:rPr>
          <w:sz w:val="28"/>
        </w:rPr>
        <w:t>Bilješka 113.</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3E20DF" w14:paraId="521BCD09" w14:textId="77777777">
        <w:trPr>
          <w:cantSplit/>
        </w:trPr>
        <w:tc>
          <w:tcPr>
            <w:tcW w:w="700" w:type="dxa"/>
            <w:shd w:val="clear" w:color="auto" w:fill="E7F0F9"/>
            <w:tcMar>
              <w:top w:w="0" w:type="dxa"/>
              <w:bottom w:w="0" w:type="dxa"/>
            </w:tcMar>
            <w:vAlign w:val="center"/>
          </w:tcPr>
          <w:p w14:paraId="169E59D4" w14:textId="77777777" w:rsidR="003E20DF" w:rsidRDefault="00F01A5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3E8D416" w14:textId="77777777" w:rsidR="003E20DF" w:rsidRDefault="00F01A5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61D2111" w14:textId="77777777" w:rsidR="003E20DF" w:rsidRDefault="00F01A5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68A512F" w14:textId="77777777" w:rsidR="003E20DF" w:rsidRDefault="00F01A5C">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435940E8" w14:textId="77777777" w:rsidR="003E20DF" w:rsidRDefault="00F01A5C">
            <w:pPr>
              <w:keepNext/>
              <w:keepLines/>
              <w:spacing w:after="0" w:line="240" w:lineRule="auto"/>
              <w:jc w:val="center"/>
            </w:pPr>
            <w:r>
              <w:rPr>
                <w:b/>
                <w:sz w:val="18"/>
              </w:rPr>
              <w:t>Indeks (%)</w:t>
            </w:r>
          </w:p>
        </w:tc>
      </w:tr>
      <w:tr w:rsidR="003E20DF" w14:paraId="50A4C60E" w14:textId="77777777">
        <w:trPr>
          <w:cantSplit/>
          <w:trHeight w:val="560"/>
        </w:trPr>
        <w:tc>
          <w:tcPr>
            <w:tcW w:w="700" w:type="dxa"/>
            <w:tcMar>
              <w:top w:w="0" w:type="dxa"/>
              <w:bottom w:w="0" w:type="dxa"/>
            </w:tcMar>
            <w:vAlign w:val="center"/>
          </w:tcPr>
          <w:p w14:paraId="0F95BA6C" w14:textId="77777777" w:rsidR="003E20DF" w:rsidRDefault="003E20DF">
            <w:pPr>
              <w:keepNext/>
              <w:keepLines/>
              <w:spacing w:after="0" w:line="240" w:lineRule="auto"/>
            </w:pPr>
          </w:p>
        </w:tc>
        <w:tc>
          <w:tcPr>
            <w:tcW w:w="3180" w:type="dxa"/>
            <w:tcMar>
              <w:top w:w="0" w:type="dxa"/>
              <w:bottom w:w="0" w:type="dxa"/>
            </w:tcMar>
            <w:vAlign w:val="center"/>
          </w:tcPr>
          <w:p w14:paraId="7E1D8724" w14:textId="77777777" w:rsidR="003E20DF" w:rsidRDefault="00F01A5C">
            <w:pPr>
              <w:keepNext/>
              <w:keepLines/>
              <w:spacing w:after="0" w:line="240" w:lineRule="auto"/>
            </w:pPr>
            <w:r>
              <w:rPr>
                <w:sz w:val="18"/>
              </w:rPr>
              <w:t>Stanje obveza na kraju izvještajnog razdoblja (šifre V001+V002-V004) i (šifre V007+V009)</w:t>
            </w:r>
          </w:p>
        </w:tc>
        <w:tc>
          <w:tcPr>
            <w:tcW w:w="700" w:type="dxa"/>
            <w:tcMar>
              <w:top w:w="0" w:type="dxa"/>
              <w:bottom w:w="0" w:type="dxa"/>
            </w:tcMar>
            <w:vAlign w:val="center"/>
          </w:tcPr>
          <w:p w14:paraId="4DD65BF9" w14:textId="77777777" w:rsidR="003E20DF" w:rsidRDefault="00F01A5C">
            <w:pPr>
              <w:keepNext/>
              <w:keepLines/>
              <w:spacing w:after="0" w:line="240" w:lineRule="auto"/>
            </w:pPr>
            <w:r>
              <w:rPr>
                <w:sz w:val="18"/>
              </w:rPr>
              <w:t>V006</w:t>
            </w:r>
          </w:p>
        </w:tc>
        <w:tc>
          <w:tcPr>
            <w:tcW w:w="1860" w:type="dxa"/>
            <w:tcMar>
              <w:top w:w="0" w:type="dxa"/>
              <w:bottom w:w="0" w:type="dxa"/>
            </w:tcMar>
            <w:vAlign w:val="center"/>
          </w:tcPr>
          <w:p w14:paraId="33934EE0" w14:textId="77777777" w:rsidR="003E20DF" w:rsidRDefault="00F01A5C">
            <w:pPr>
              <w:keepNext/>
              <w:keepLines/>
              <w:spacing w:after="0" w:line="240" w:lineRule="auto"/>
              <w:jc w:val="right"/>
            </w:pPr>
            <w:r>
              <w:rPr>
                <w:sz w:val="18"/>
              </w:rPr>
              <w:t>40.954.795,04</w:t>
            </w:r>
          </w:p>
        </w:tc>
        <w:tc>
          <w:tcPr>
            <w:tcW w:w="700" w:type="dxa"/>
            <w:tcMar>
              <w:top w:w="0" w:type="dxa"/>
              <w:bottom w:w="0" w:type="dxa"/>
            </w:tcMar>
            <w:vAlign w:val="center"/>
          </w:tcPr>
          <w:p w14:paraId="3545C509" w14:textId="77777777" w:rsidR="003E20DF" w:rsidRDefault="00F01A5C">
            <w:pPr>
              <w:keepNext/>
              <w:keepLines/>
              <w:spacing w:after="0" w:line="240" w:lineRule="auto"/>
              <w:jc w:val="right"/>
            </w:pPr>
            <w:r>
              <w:rPr>
                <w:sz w:val="18"/>
              </w:rPr>
              <w:t>-</w:t>
            </w:r>
          </w:p>
        </w:tc>
      </w:tr>
    </w:tbl>
    <w:p w14:paraId="5C4EF47B" w14:textId="77777777" w:rsidR="003E20DF" w:rsidRDefault="003E20DF">
      <w:pPr>
        <w:spacing w:after="0"/>
      </w:pPr>
    </w:p>
    <w:p w14:paraId="5C05F404" w14:textId="77777777" w:rsidR="003E20DF" w:rsidRDefault="00F01A5C" w:rsidP="00E72F6C">
      <w:pPr>
        <w:ind w:firstLine="708"/>
        <w:jc w:val="both"/>
      </w:pPr>
      <w:r>
        <w:t>Obveze na dan 31. prosinca 2025. iznose 40.954.795,04 eura i manje su 1.002.146,73 eura u odnosu na stanje 1.1.2025. Obveze su uredno izvršavane i nema dospjelih neplaćenih obveza na dan 31.12.2025.</w:t>
      </w:r>
    </w:p>
    <w:p w14:paraId="6B6F156B" w14:textId="77777777" w:rsidR="003E20DF" w:rsidRDefault="003E20DF"/>
    <w:p w14:paraId="1F958D27" w14:textId="77777777" w:rsidR="003E20DF" w:rsidRDefault="00F01A5C">
      <w:pPr>
        <w:keepNext/>
        <w:spacing w:line="240" w:lineRule="auto"/>
        <w:jc w:val="center"/>
      </w:pPr>
      <w:r>
        <w:rPr>
          <w:sz w:val="28"/>
        </w:rPr>
        <w:t>Bilješka 114.</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3E20DF" w14:paraId="0E9B9B64" w14:textId="77777777">
        <w:trPr>
          <w:cantSplit/>
        </w:trPr>
        <w:tc>
          <w:tcPr>
            <w:tcW w:w="700" w:type="dxa"/>
            <w:shd w:val="clear" w:color="auto" w:fill="E7F0F9"/>
            <w:tcMar>
              <w:top w:w="0" w:type="dxa"/>
              <w:bottom w:w="0" w:type="dxa"/>
            </w:tcMar>
            <w:vAlign w:val="center"/>
          </w:tcPr>
          <w:p w14:paraId="4754DE92" w14:textId="77777777" w:rsidR="003E20DF" w:rsidRDefault="00F01A5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DEB52DE" w14:textId="77777777" w:rsidR="003E20DF" w:rsidRDefault="00F01A5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7D6E198" w14:textId="77777777" w:rsidR="003E20DF" w:rsidRDefault="00F01A5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99960FB" w14:textId="77777777" w:rsidR="003E20DF" w:rsidRDefault="00F01A5C">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4C2A5214" w14:textId="77777777" w:rsidR="003E20DF" w:rsidRDefault="00F01A5C">
            <w:pPr>
              <w:keepNext/>
              <w:keepLines/>
              <w:spacing w:after="0" w:line="240" w:lineRule="auto"/>
              <w:jc w:val="center"/>
            </w:pPr>
            <w:r>
              <w:rPr>
                <w:b/>
                <w:sz w:val="18"/>
              </w:rPr>
              <w:t>Indeks (%)</w:t>
            </w:r>
          </w:p>
        </w:tc>
      </w:tr>
      <w:tr w:rsidR="003E20DF" w14:paraId="07AA928F" w14:textId="77777777">
        <w:trPr>
          <w:cantSplit/>
          <w:trHeight w:val="560"/>
        </w:trPr>
        <w:tc>
          <w:tcPr>
            <w:tcW w:w="700" w:type="dxa"/>
            <w:tcMar>
              <w:top w:w="0" w:type="dxa"/>
              <w:bottom w:w="0" w:type="dxa"/>
            </w:tcMar>
            <w:vAlign w:val="center"/>
          </w:tcPr>
          <w:p w14:paraId="02A501CE" w14:textId="77777777" w:rsidR="003E20DF" w:rsidRDefault="003E20DF">
            <w:pPr>
              <w:keepNext/>
              <w:keepLines/>
              <w:spacing w:after="0" w:line="240" w:lineRule="auto"/>
            </w:pPr>
          </w:p>
        </w:tc>
        <w:tc>
          <w:tcPr>
            <w:tcW w:w="3180" w:type="dxa"/>
            <w:tcMar>
              <w:top w:w="0" w:type="dxa"/>
              <w:bottom w:w="0" w:type="dxa"/>
            </w:tcMar>
            <w:vAlign w:val="center"/>
          </w:tcPr>
          <w:p w14:paraId="0F42F157" w14:textId="77777777" w:rsidR="003E20DF" w:rsidRDefault="00F01A5C">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16313E3F" w14:textId="77777777" w:rsidR="003E20DF" w:rsidRDefault="00F01A5C">
            <w:pPr>
              <w:keepNext/>
              <w:keepLines/>
              <w:spacing w:after="0" w:line="240" w:lineRule="auto"/>
            </w:pPr>
            <w:r>
              <w:rPr>
                <w:sz w:val="18"/>
              </w:rPr>
              <w:t>V007</w:t>
            </w:r>
          </w:p>
        </w:tc>
        <w:tc>
          <w:tcPr>
            <w:tcW w:w="1860" w:type="dxa"/>
            <w:tcMar>
              <w:top w:w="0" w:type="dxa"/>
              <w:bottom w:w="0" w:type="dxa"/>
            </w:tcMar>
            <w:vAlign w:val="center"/>
          </w:tcPr>
          <w:p w14:paraId="7A2DC4BC" w14:textId="77777777" w:rsidR="003E20DF" w:rsidRDefault="00F01A5C">
            <w:pPr>
              <w:keepNext/>
              <w:keepLines/>
              <w:spacing w:after="0" w:line="240" w:lineRule="auto"/>
              <w:jc w:val="right"/>
            </w:pPr>
            <w:r>
              <w:rPr>
                <w:sz w:val="18"/>
              </w:rPr>
              <w:t>0,00</w:t>
            </w:r>
          </w:p>
        </w:tc>
        <w:tc>
          <w:tcPr>
            <w:tcW w:w="700" w:type="dxa"/>
            <w:tcMar>
              <w:top w:w="0" w:type="dxa"/>
              <w:bottom w:w="0" w:type="dxa"/>
            </w:tcMar>
            <w:vAlign w:val="center"/>
          </w:tcPr>
          <w:p w14:paraId="48E155EF" w14:textId="77777777" w:rsidR="003E20DF" w:rsidRDefault="00F01A5C">
            <w:pPr>
              <w:keepNext/>
              <w:keepLines/>
              <w:spacing w:after="0" w:line="240" w:lineRule="auto"/>
              <w:jc w:val="right"/>
            </w:pPr>
            <w:r>
              <w:rPr>
                <w:sz w:val="18"/>
              </w:rPr>
              <w:t>-</w:t>
            </w:r>
          </w:p>
        </w:tc>
      </w:tr>
    </w:tbl>
    <w:p w14:paraId="35C53E88" w14:textId="77777777" w:rsidR="003E20DF" w:rsidRDefault="003E20DF">
      <w:pPr>
        <w:spacing w:after="0"/>
      </w:pPr>
    </w:p>
    <w:p w14:paraId="6AFCC54A" w14:textId="77777777" w:rsidR="003E20DF" w:rsidRDefault="00F01A5C">
      <w:r>
        <w:t>Grad Osijek na dan 31.12.2025. nema dospjelih, a neplaćenih obveza.</w:t>
      </w:r>
    </w:p>
    <w:p w14:paraId="7E299892" w14:textId="77777777" w:rsidR="003E20DF" w:rsidRDefault="003E20DF"/>
    <w:p w14:paraId="1CCF2070" w14:textId="77777777" w:rsidR="003E20DF" w:rsidRDefault="00F01A5C">
      <w:pPr>
        <w:keepNext/>
        <w:spacing w:line="240" w:lineRule="auto"/>
        <w:jc w:val="center"/>
      </w:pPr>
      <w:r>
        <w:rPr>
          <w:sz w:val="28"/>
        </w:rPr>
        <w:t>Bilješka 115.</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3E20DF" w14:paraId="35F33109" w14:textId="77777777">
        <w:trPr>
          <w:cantSplit/>
        </w:trPr>
        <w:tc>
          <w:tcPr>
            <w:tcW w:w="700" w:type="dxa"/>
            <w:shd w:val="clear" w:color="auto" w:fill="E7F0F9"/>
            <w:tcMar>
              <w:top w:w="0" w:type="dxa"/>
              <w:bottom w:w="0" w:type="dxa"/>
            </w:tcMar>
            <w:vAlign w:val="center"/>
          </w:tcPr>
          <w:p w14:paraId="511C24DB" w14:textId="77777777" w:rsidR="003E20DF" w:rsidRDefault="00F01A5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FBEB9EE" w14:textId="77777777" w:rsidR="003E20DF" w:rsidRDefault="00F01A5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2EFA72C" w14:textId="77777777" w:rsidR="003E20DF" w:rsidRDefault="00F01A5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EECEFF2" w14:textId="77777777" w:rsidR="003E20DF" w:rsidRDefault="00F01A5C">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32BDC9CB" w14:textId="77777777" w:rsidR="003E20DF" w:rsidRDefault="00F01A5C">
            <w:pPr>
              <w:keepNext/>
              <w:keepLines/>
              <w:spacing w:after="0" w:line="240" w:lineRule="auto"/>
              <w:jc w:val="center"/>
            </w:pPr>
            <w:r>
              <w:rPr>
                <w:b/>
                <w:sz w:val="18"/>
              </w:rPr>
              <w:t>Indeks (%)</w:t>
            </w:r>
          </w:p>
        </w:tc>
      </w:tr>
      <w:tr w:rsidR="003E20DF" w14:paraId="74851CA2" w14:textId="77777777">
        <w:trPr>
          <w:cantSplit/>
          <w:trHeight w:val="560"/>
        </w:trPr>
        <w:tc>
          <w:tcPr>
            <w:tcW w:w="700" w:type="dxa"/>
            <w:tcMar>
              <w:top w:w="0" w:type="dxa"/>
              <w:bottom w:w="0" w:type="dxa"/>
            </w:tcMar>
            <w:vAlign w:val="center"/>
          </w:tcPr>
          <w:p w14:paraId="4DACFA43" w14:textId="77777777" w:rsidR="003E20DF" w:rsidRDefault="003E20DF">
            <w:pPr>
              <w:keepNext/>
              <w:keepLines/>
              <w:spacing w:after="0" w:line="240" w:lineRule="auto"/>
            </w:pPr>
          </w:p>
        </w:tc>
        <w:tc>
          <w:tcPr>
            <w:tcW w:w="3180" w:type="dxa"/>
            <w:tcMar>
              <w:top w:w="0" w:type="dxa"/>
              <w:bottom w:w="0" w:type="dxa"/>
            </w:tcMar>
            <w:vAlign w:val="center"/>
          </w:tcPr>
          <w:p w14:paraId="0009CDEF" w14:textId="77777777" w:rsidR="003E20DF" w:rsidRDefault="00F01A5C">
            <w:pPr>
              <w:keepNext/>
              <w:keepLines/>
              <w:spacing w:after="0" w:line="240" w:lineRule="auto"/>
            </w:pPr>
            <w:r>
              <w:rPr>
                <w:sz w:val="18"/>
              </w:rPr>
              <w:t>Međusobne obveze subjekata općeg proračuna</w:t>
            </w:r>
          </w:p>
        </w:tc>
        <w:tc>
          <w:tcPr>
            <w:tcW w:w="700" w:type="dxa"/>
            <w:tcMar>
              <w:top w:w="0" w:type="dxa"/>
              <w:bottom w:w="0" w:type="dxa"/>
            </w:tcMar>
            <w:vAlign w:val="center"/>
          </w:tcPr>
          <w:p w14:paraId="132E0B64" w14:textId="77777777" w:rsidR="003E20DF" w:rsidRDefault="00F01A5C">
            <w:pPr>
              <w:keepNext/>
              <w:keepLines/>
              <w:spacing w:after="0" w:line="240" w:lineRule="auto"/>
            </w:pPr>
            <w:r>
              <w:rPr>
                <w:sz w:val="18"/>
              </w:rPr>
              <w:t>V010</w:t>
            </w:r>
          </w:p>
        </w:tc>
        <w:tc>
          <w:tcPr>
            <w:tcW w:w="1860" w:type="dxa"/>
            <w:tcMar>
              <w:top w:w="0" w:type="dxa"/>
              <w:bottom w:w="0" w:type="dxa"/>
            </w:tcMar>
            <w:vAlign w:val="center"/>
          </w:tcPr>
          <w:p w14:paraId="6877AC55" w14:textId="77777777" w:rsidR="003E20DF" w:rsidRDefault="00F01A5C">
            <w:pPr>
              <w:keepNext/>
              <w:keepLines/>
              <w:spacing w:after="0" w:line="240" w:lineRule="auto"/>
              <w:jc w:val="right"/>
            </w:pPr>
            <w:r>
              <w:rPr>
                <w:sz w:val="18"/>
              </w:rPr>
              <w:t>3.105.025,34</w:t>
            </w:r>
          </w:p>
        </w:tc>
        <w:tc>
          <w:tcPr>
            <w:tcW w:w="700" w:type="dxa"/>
            <w:tcMar>
              <w:top w:w="0" w:type="dxa"/>
              <w:bottom w:w="0" w:type="dxa"/>
            </w:tcMar>
            <w:vAlign w:val="center"/>
          </w:tcPr>
          <w:p w14:paraId="521B186E" w14:textId="77777777" w:rsidR="003E20DF" w:rsidRDefault="00F01A5C">
            <w:pPr>
              <w:keepNext/>
              <w:keepLines/>
              <w:spacing w:after="0" w:line="240" w:lineRule="auto"/>
              <w:jc w:val="right"/>
            </w:pPr>
            <w:r>
              <w:rPr>
                <w:sz w:val="18"/>
              </w:rPr>
              <w:t>-</w:t>
            </w:r>
          </w:p>
        </w:tc>
      </w:tr>
    </w:tbl>
    <w:p w14:paraId="31A8698A" w14:textId="77777777" w:rsidR="003E20DF" w:rsidRDefault="003E20DF">
      <w:pPr>
        <w:spacing w:after="0"/>
      </w:pPr>
    </w:p>
    <w:p w14:paraId="24E5A22F" w14:textId="77777777" w:rsidR="003E20DF" w:rsidRDefault="00F01A5C" w:rsidP="00E72F6C">
      <w:pPr>
        <w:ind w:firstLine="708"/>
        <w:jc w:val="both"/>
      </w:pPr>
      <w:r>
        <w:t xml:space="preserve">Od 1.1.2023. poslovanje Grada Osijeka odvija se putem pune Riznice, odnosno plaćanja putem jednog žiro računa. Dakle, ugašeni su računi svih proračunskih korisnika Grada izuzev  Prosvjetno kulturnog centra Mađara u RH i sredstva prenesena na račun Grada. U okviru </w:t>
      </w:r>
      <w:r>
        <w:lastRenderedPageBreak/>
        <w:t>međusobnih obveza subjekata općeg proračuna iskazana je obveza Grada Osijeka za novčana sredstva ovih proračunskih korisnika u iznosu 3.068.824,04 eura.  Iskazana su i više uplaćena sredstva za decentraliziranu funkciju vatrogastva u iznosu  17.080,86 eura, neutrošena sredstva iz državnog proračuna za ogrjev za socijalne skupine građana 4.905,44 eura te naplaćeni prihodi Prosvjetno kulturnog centra Mađara 14.215,00 eura (od 2026. ulaze u punu riznicu Grada).</w:t>
      </w:r>
    </w:p>
    <w:p w14:paraId="188BB0C1" w14:textId="77777777" w:rsidR="003E20DF" w:rsidRDefault="003E20DF"/>
    <w:p w14:paraId="4208A11F" w14:textId="77777777" w:rsidR="003E20DF" w:rsidRDefault="00F01A5C">
      <w:pPr>
        <w:keepNext/>
        <w:spacing w:line="240" w:lineRule="auto"/>
        <w:jc w:val="center"/>
      </w:pPr>
      <w:r>
        <w:rPr>
          <w:sz w:val="28"/>
        </w:rPr>
        <w:t>Bilješka 116.</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3E20DF" w14:paraId="01BE6224" w14:textId="77777777">
        <w:trPr>
          <w:cantSplit/>
        </w:trPr>
        <w:tc>
          <w:tcPr>
            <w:tcW w:w="700" w:type="dxa"/>
            <w:shd w:val="clear" w:color="auto" w:fill="E7F0F9"/>
            <w:tcMar>
              <w:top w:w="0" w:type="dxa"/>
              <w:bottom w:w="0" w:type="dxa"/>
            </w:tcMar>
            <w:vAlign w:val="center"/>
          </w:tcPr>
          <w:p w14:paraId="601A0743" w14:textId="77777777" w:rsidR="003E20DF" w:rsidRDefault="00F01A5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1958FD9" w14:textId="77777777" w:rsidR="003E20DF" w:rsidRDefault="00F01A5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1BC50FF" w14:textId="77777777" w:rsidR="003E20DF" w:rsidRDefault="00F01A5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07C2651" w14:textId="77777777" w:rsidR="003E20DF" w:rsidRDefault="00F01A5C">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65D6EFE7" w14:textId="77777777" w:rsidR="003E20DF" w:rsidRDefault="00F01A5C">
            <w:pPr>
              <w:keepNext/>
              <w:keepLines/>
              <w:spacing w:after="0" w:line="240" w:lineRule="auto"/>
              <w:jc w:val="center"/>
            </w:pPr>
            <w:r>
              <w:rPr>
                <w:b/>
                <w:sz w:val="18"/>
              </w:rPr>
              <w:t>Indeks (%)</w:t>
            </w:r>
          </w:p>
        </w:tc>
      </w:tr>
      <w:tr w:rsidR="003E20DF" w14:paraId="58BE53A1" w14:textId="77777777">
        <w:trPr>
          <w:cantSplit/>
          <w:trHeight w:val="560"/>
        </w:trPr>
        <w:tc>
          <w:tcPr>
            <w:tcW w:w="700" w:type="dxa"/>
            <w:tcMar>
              <w:top w:w="0" w:type="dxa"/>
              <w:bottom w:w="0" w:type="dxa"/>
            </w:tcMar>
            <w:vAlign w:val="center"/>
          </w:tcPr>
          <w:p w14:paraId="7FC79DCC" w14:textId="77777777" w:rsidR="003E20DF" w:rsidRDefault="00F01A5C">
            <w:pPr>
              <w:keepNext/>
              <w:keepLines/>
              <w:spacing w:after="0" w:line="240" w:lineRule="auto"/>
            </w:pPr>
            <w:r>
              <w:rPr>
                <w:sz w:val="18"/>
              </w:rPr>
              <w:t>23</w:t>
            </w:r>
          </w:p>
        </w:tc>
        <w:tc>
          <w:tcPr>
            <w:tcW w:w="3180" w:type="dxa"/>
            <w:tcMar>
              <w:top w:w="0" w:type="dxa"/>
              <w:bottom w:w="0" w:type="dxa"/>
            </w:tcMar>
            <w:vAlign w:val="center"/>
          </w:tcPr>
          <w:p w14:paraId="27FD8716" w14:textId="77777777" w:rsidR="003E20DF" w:rsidRDefault="00F01A5C">
            <w:pPr>
              <w:keepNext/>
              <w:keepLines/>
              <w:spacing w:after="0" w:line="240" w:lineRule="auto"/>
            </w:pPr>
            <w:r>
              <w:rPr>
                <w:sz w:val="18"/>
              </w:rPr>
              <w:t>Obveze za rashode poslovanja</w:t>
            </w:r>
          </w:p>
        </w:tc>
        <w:tc>
          <w:tcPr>
            <w:tcW w:w="700" w:type="dxa"/>
            <w:tcMar>
              <w:top w:w="0" w:type="dxa"/>
              <w:bottom w:w="0" w:type="dxa"/>
            </w:tcMar>
            <w:vAlign w:val="center"/>
          </w:tcPr>
          <w:p w14:paraId="443417A8" w14:textId="77777777" w:rsidR="003E20DF" w:rsidRDefault="00F01A5C">
            <w:pPr>
              <w:keepNext/>
              <w:keepLines/>
              <w:spacing w:after="0" w:line="240" w:lineRule="auto"/>
            </w:pPr>
            <w:r>
              <w:rPr>
                <w:sz w:val="18"/>
              </w:rPr>
              <w:t>ND23</w:t>
            </w:r>
          </w:p>
        </w:tc>
        <w:tc>
          <w:tcPr>
            <w:tcW w:w="1860" w:type="dxa"/>
            <w:tcMar>
              <w:top w:w="0" w:type="dxa"/>
              <w:bottom w:w="0" w:type="dxa"/>
            </w:tcMar>
            <w:vAlign w:val="center"/>
          </w:tcPr>
          <w:p w14:paraId="1D7C5882" w14:textId="77777777" w:rsidR="003E20DF" w:rsidRDefault="00F01A5C">
            <w:pPr>
              <w:keepNext/>
              <w:keepLines/>
              <w:spacing w:after="0" w:line="240" w:lineRule="auto"/>
              <w:jc w:val="right"/>
            </w:pPr>
            <w:r>
              <w:rPr>
                <w:sz w:val="18"/>
              </w:rPr>
              <w:t>3.980.101,20</w:t>
            </w:r>
          </w:p>
        </w:tc>
        <w:tc>
          <w:tcPr>
            <w:tcW w:w="700" w:type="dxa"/>
            <w:tcMar>
              <w:top w:w="0" w:type="dxa"/>
              <w:bottom w:w="0" w:type="dxa"/>
            </w:tcMar>
            <w:vAlign w:val="center"/>
          </w:tcPr>
          <w:p w14:paraId="465C29D9" w14:textId="77777777" w:rsidR="003E20DF" w:rsidRDefault="00F01A5C">
            <w:pPr>
              <w:keepNext/>
              <w:keepLines/>
              <w:spacing w:after="0" w:line="240" w:lineRule="auto"/>
              <w:jc w:val="right"/>
            </w:pPr>
            <w:r>
              <w:rPr>
                <w:sz w:val="18"/>
              </w:rPr>
              <w:t>-</w:t>
            </w:r>
          </w:p>
        </w:tc>
      </w:tr>
    </w:tbl>
    <w:p w14:paraId="189B339D" w14:textId="77777777" w:rsidR="003E20DF" w:rsidRDefault="003E20DF">
      <w:pPr>
        <w:spacing w:after="0"/>
      </w:pPr>
    </w:p>
    <w:p w14:paraId="1517C5A3" w14:textId="77777777" w:rsidR="003E20DF" w:rsidRDefault="00F01A5C" w:rsidP="00E72F6C">
      <w:pPr>
        <w:ind w:firstLine="708"/>
        <w:jc w:val="both"/>
      </w:pPr>
      <w:r>
        <w:t>Nedospjele obveze Grada temeljem rashoda poslovanja u pravilu se odnose na plaću za prosinac 2025. te naknade vijećnicima, odborima i upravnim vijećima, režijske troškove za prosinac 2025.,račune za čišćenje i održavanje javnih površina grada i dr. </w:t>
      </w:r>
    </w:p>
    <w:p w14:paraId="4C05A926" w14:textId="77777777" w:rsidR="003E20DF" w:rsidRDefault="003E20DF"/>
    <w:p w14:paraId="1036F3B8" w14:textId="77777777" w:rsidR="003E20DF" w:rsidRDefault="00F01A5C">
      <w:pPr>
        <w:keepNext/>
        <w:spacing w:line="240" w:lineRule="auto"/>
        <w:jc w:val="center"/>
      </w:pPr>
      <w:r>
        <w:rPr>
          <w:sz w:val="28"/>
        </w:rPr>
        <w:t>Bilješka 117.</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3E20DF" w14:paraId="1CC25EB2" w14:textId="77777777">
        <w:trPr>
          <w:cantSplit/>
        </w:trPr>
        <w:tc>
          <w:tcPr>
            <w:tcW w:w="700" w:type="dxa"/>
            <w:shd w:val="clear" w:color="auto" w:fill="E7F0F9"/>
            <w:tcMar>
              <w:top w:w="0" w:type="dxa"/>
              <w:bottom w:w="0" w:type="dxa"/>
            </w:tcMar>
            <w:vAlign w:val="center"/>
          </w:tcPr>
          <w:p w14:paraId="27309650" w14:textId="77777777" w:rsidR="003E20DF" w:rsidRDefault="00F01A5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E0344F2" w14:textId="77777777" w:rsidR="003E20DF" w:rsidRDefault="00F01A5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E78AF23" w14:textId="77777777" w:rsidR="003E20DF" w:rsidRDefault="00F01A5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6E3A688" w14:textId="77777777" w:rsidR="003E20DF" w:rsidRDefault="00F01A5C">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4678A0EC" w14:textId="77777777" w:rsidR="003E20DF" w:rsidRDefault="00F01A5C">
            <w:pPr>
              <w:keepNext/>
              <w:keepLines/>
              <w:spacing w:after="0" w:line="240" w:lineRule="auto"/>
              <w:jc w:val="center"/>
            </w:pPr>
            <w:r>
              <w:rPr>
                <w:b/>
                <w:sz w:val="18"/>
              </w:rPr>
              <w:t>Indeks (%)</w:t>
            </w:r>
          </w:p>
        </w:tc>
      </w:tr>
      <w:tr w:rsidR="003E20DF" w14:paraId="32075447" w14:textId="77777777">
        <w:trPr>
          <w:cantSplit/>
          <w:trHeight w:val="560"/>
        </w:trPr>
        <w:tc>
          <w:tcPr>
            <w:tcW w:w="700" w:type="dxa"/>
            <w:tcMar>
              <w:top w:w="0" w:type="dxa"/>
              <w:bottom w:w="0" w:type="dxa"/>
            </w:tcMar>
            <w:vAlign w:val="center"/>
          </w:tcPr>
          <w:p w14:paraId="67B787C9" w14:textId="77777777" w:rsidR="003E20DF" w:rsidRDefault="00F01A5C">
            <w:pPr>
              <w:keepNext/>
              <w:keepLines/>
              <w:spacing w:after="0" w:line="240" w:lineRule="auto"/>
            </w:pPr>
            <w:r>
              <w:rPr>
                <w:sz w:val="18"/>
              </w:rPr>
              <w:t>24</w:t>
            </w:r>
          </w:p>
        </w:tc>
        <w:tc>
          <w:tcPr>
            <w:tcW w:w="3180" w:type="dxa"/>
            <w:tcMar>
              <w:top w:w="0" w:type="dxa"/>
              <w:bottom w:w="0" w:type="dxa"/>
            </w:tcMar>
            <w:vAlign w:val="center"/>
          </w:tcPr>
          <w:p w14:paraId="06E121E9" w14:textId="77777777" w:rsidR="003E20DF" w:rsidRDefault="00F01A5C">
            <w:pPr>
              <w:keepNext/>
              <w:keepLines/>
              <w:spacing w:after="0" w:line="240" w:lineRule="auto"/>
            </w:pPr>
            <w:r>
              <w:rPr>
                <w:sz w:val="18"/>
              </w:rPr>
              <w:t>Obveze za nabavu nefinancijske imovine</w:t>
            </w:r>
          </w:p>
        </w:tc>
        <w:tc>
          <w:tcPr>
            <w:tcW w:w="700" w:type="dxa"/>
            <w:tcMar>
              <w:top w:w="0" w:type="dxa"/>
              <w:bottom w:w="0" w:type="dxa"/>
            </w:tcMar>
            <w:vAlign w:val="center"/>
          </w:tcPr>
          <w:p w14:paraId="05DE8CBD" w14:textId="77777777" w:rsidR="003E20DF" w:rsidRDefault="00F01A5C">
            <w:pPr>
              <w:keepNext/>
              <w:keepLines/>
              <w:spacing w:after="0" w:line="240" w:lineRule="auto"/>
            </w:pPr>
            <w:r>
              <w:rPr>
                <w:sz w:val="18"/>
              </w:rPr>
              <w:t>ND24</w:t>
            </w:r>
          </w:p>
        </w:tc>
        <w:tc>
          <w:tcPr>
            <w:tcW w:w="1860" w:type="dxa"/>
            <w:tcMar>
              <w:top w:w="0" w:type="dxa"/>
              <w:bottom w:w="0" w:type="dxa"/>
            </w:tcMar>
            <w:vAlign w:val="center"/>
          </w:tcPr>
          <w:p w14:paraId="45C9DEC4" w14:textId="77777777" w:rsidR="003E20DF" w:rsidRDefault="00F01A5C">
            <w:pPr>
              <w:keepNext/>
              <w:keepLines/>
              <w:spacing w:after="0" w:line="240" w:lineRule="auto"/>
              <w:jc w:val="right"/>
            </w:pPr>
            <w:r>
              <w:rPr>
                <w:sz w:val="18"/>
              </w:rPr>
              <w:t>3.767.036,72</w:t>
            </w:r>
          </w:p>
        </w:tc>
        <w:tc>
          <w:tcPr>
            <w:tcW w:w="700" w:type="dxa"/>
            <w:tcMar>
              <w:top w:w="0" w:type="dxa"/>
              <w:bottom w:w="0" w:type="dxa"/>
            </w:tcMar>
            <w:vAlign w:val="center"/>
          </w:tcPr>
          <w:p w14:paraId="6C73D034" w14:textId="77777777" w:rsidR="003E20DF" w:rsidRDefault="00F01A5C">
            <w:pPr>
              <w:keepNext/>
              <w:keepLines/>
              <w:spacing w:after="0" w:line="240" w:lineRule="auto"/>
              <w:jc w:val="right"/>
            </w:pPr>
            <w:r>
              <w:rPr>
                <w:sz w:val="18"/>
              </w:rPr>
              <w:t>-</w:t>
            </w:r>
          </w:p>
        </w:tc>
      </w:tr>
    </w:tbl>
    <w:p w14:paraId="5E38E528" w14:textId="77777777" w:rsidR="003E20DF" w:rsidRDefault="003E20DF">
      <w:pPr>
        <w:spacing w:after="0"/>
      </w:pPr>
    </w:p>
    <w:p w14:paraId="47BC26AB" w14:textId="77777777" w:rsidR="003E20DF" w:rsidRDefault="00F01A5C" w:rsidP="00E72F6C">
      <w:pPr>
        <w:ind w:firstLine="708"/>
        <w:jc w:val="both"/>
      </w:pPr>
      <w:r>
        <w:t>Obveze za rashode za nefinancijsku imovinu u pravilu su računi/situacije za izvršene radove i usluge u prosincu 2025. (ugovoreno dospijeće 30 dana). Ispostavljene situacije odnose se na projekte uređenja kupališta Copacabana, izgradnja četiri dionice biciklističkih staza na području Osijeka, energetska obnova dječjih vrtića Mačkamama i Krijesnica te zgrade Javne vatrogasne postrojbe Osijek i dr.</w:t>
      </w:r>
    </w:p>
    <w:p w14:paraId="1824409F" w14:textId="77777777" w:rsidR="003E20DF" w:rsidRDefault="003E20DF"/>
    <w:p w14:paraId="41CFC6B7" w14:textId="77777777" w:rsidR="003E20DF" w:rsidRDefault="00F01A5C">
      <w:pPr>
        <w:keepNext/>
        <w:spacing w:line="240" w:lineRule="auto"/>
        <w:jc w:val="center"/>
      </w:pPr>
      <w:r>
        <w:rPr>
          <w:sz w:val="28"/>
        </w:rPr>
        <w:t>Bilješka 118.</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3E20DF" w14:paraId="2C1ECC1F" w14:textId="77777777">
        <w:trPr>
          <w:cantSplit/>
        </w:trPr>
        <w:tc>
          <w:tcPr>
            <w:tcW w:w="700" w:type="dxa"/>
            <w:shd w:val="clear" w:color="auto" w:fill="E7F0F9"/>
            <w:tcMar>
              <w:top w:w="0" w:type="dxa"/>
              <w:bottom w:w="0" w:type="dxa"/>
            </w:tcMar>
            <w:vAlign w:val="center"/>
          </w:tcPr>
          <w:p w14:paraId="5B0721BC" w14:textId="77777777" w:rsidR="003E20DF" w:rsidRDefault="00F01A5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BA61F89" w14:textId="77777777" w:rsidR="003E20DF" w:rsidRDefault="00F01A5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F14965F" w14:textId="77777777" w:rsidR="003E20DF" w:rsidRDefault="00F01A5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3D99EEB" w14:textId="77777777" w:rsidR="003E20DF" w:rsidRDefault="00F01A5C">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4EB26022" w14:textId="77777777" w:rsidR="003E20DF" w:rsidRDefault="00F01A5C">
            <w:pPr>
              <w:keepNext/>
              <w:keepLines/>
              <w:spacing w:after="0" w:line="240" w:lineRule="auto"/>
              <w:jc w:val="center"/>
            </w:pPr>
            <w:r>
              <w:rPr>
                <w:b/>
                <w:sz w:val="18"/>
              </w:rPr>
              <w:t>Indeks (%)</w:t>
            </w:r>
          </w:p>
        </w:tc>
      </w:tr>
      <w:tr w:rsidR="003E20DF" w14:paraId="53819285" w14:textId="77777777">
        <w:trPr>
          <w:cantSplit/>
          <w:trHeight w:val="560"/>
        </w:trPr>
        <w:tc>
          <w:tcPr>
            <w:tcW w:w="700" w:type="dxa"/>
            <w:tcMar>
              <w:top w:w="0" w:type="dxa"/>
              <w:bottom w:w="0" w:type="dxa"/>
            </w:tcMar>
            <w:vAlign w:val="center"/>
          </w:tcPr>
          <w:p w14:paraId="34899DF3" w14:textId="77777777" w:rsidR="003E20DF" w:rsidRDefault="00F01A5C">
            <w:pPr>
              <w:keepNext/>
              <w:keepLines/>
              <w:spacing w:after="0" w:line="240" w:lineRule="auto"/>
            </w:pPr>
            <w:r>
              <w:rPr>
                <w:sz w:val="18"/>
              </w:rPr>
              <w:t>dio 25,26</w:t>
            </w:r>
          </w:p>
        </w:tc>
        <w:tc>
          <w:tcPr>
            <w:tcW w:w="3180" w:type="dxa"/>
            <w:tcMar>
              <w:top w:w="0" w:type="dxa"/>
              <w:bottom w:w="0" w:type="dxa"/>
            </w:tcMar>
            <w:vAlign w:val="center"/>
          </w:tcPr>
          <w:p w14:paraId="1E7D4135" w14:textId="77777777" w:rsidR="003E20DF" w:rsidRDefault="00F01A5C">
            <w:pPr>
              <w:keepNext/>
              <w:keepLines/>
              <w:spacing w:after="0" w:line="240" w:lineRule="auto"/>
            </w:pPr>
            <w:r>
              <w:rPr>
                <w:sz w:val="18"/>
              </w:rPr>
              <w:t>Obveze za financijsku imovinu</w:t>
            </w:r>
          </w:p>
        </w:tc>
        <w:tc>
          <w:tcPr>
            <w:tcW w:w="700" w:type="dxa"/>
            <w:tcMar>
              <w:top w:w="0" w:type="dxa"/>
              <w:bottom w:w="0" w:type="dxa"/>
            </w:tcMar>
            <w:vAlign w:val="center"/>
          </w:tcPr>
          <w:p w14:paraId="463B3E22" w14:textId="77777777" w:rsidR="003E20DF" w:rsidRDefault="00F01A5C">
            <w:pPr>
              <w:keepNext/>
              <w:keepLines/>
              <w:spacing w:after="0" w:line="240" w:lineRule="auto"/>
            </w:pPr>
            <w:r>
              <w:rPr>
                <w:sz w:val="18"/>
              </w:rPr>
              <w:t>ND dio 25,26</w:t>
            </w:r>
          </w:p>
        </w:tc>
        <w:tc>
          <w:tcPr>
            <w:tcW w:w="1860" w:type="dxa"/>
            <w:tcMar>
              <w:top w:w="0" w:type="dxa"/>
              <w:bottom w:w="0" w:type="dxa"/>
            </w:tcMar>
            <w:vAlign w:val="center"/>
          </w:tcPr>
          <w:p w14:paraId="69CB7AD0" w14:textId="77777777" w:rsidR="003E20DF" w:rsidRDefault="00F01A5C">
            <w:pPr>
              <w:keepNext/>
              <w:keepLines/>
              <w:spacing w:after="0" w:line="240" w:lineRule="auto"/>
              <w:jc w:val="right"/>
            </w:pPr>
            <w:r>
              <w:rPr>
                <w:sz w:val="18"/>
              </w:rPr>
              <w:t>27.810.213,15</w:t>
            </w:r>
          </w:p>
        </w:tc>
        <w:tc>
          <w:tcPr>
            <w:tcW w:w="700" w:type="dxa"/>
            <w:tcMar>
              <w:top w:w="0" w:type="dxa"/>
              <w:bottom w:w="0" w:type="dxa"/>
            </w:tcMar>
            <w:vAlign w:val="center"/>
          </w:tcPr>
          <w:p w14:paraId="3E335CF2" w14:textId="77777777" w:rsidR="003E20DF" w:rsidRDefault="00F01A5C">
            <w:pPr>
              <w:keepNext/>
              <w:keepLines/>
              <w:spacing w:after="0" w:line="240" w:lineRule="auto"/>
              <w:jc w:val="right"/>
            </w:pPr>
            <w:r>
              <w:rPr>
                <w:sz w:val="18"/>
              </w:rPr>
              <w:t>-</w:t>
            </w:r>
          </w:p>
        </w:tc>
      </w:tr>
    </w:tbl>
    <w:p w14:paraId="2CDED3A8" w14:textId="77777777" w:rsidR="003E20DF" w:rsidRDefault="003E20DF">
      <w:pPr>
        <w:spacing w:after="0"/>
      </w:pPr>
    </w:p>
    <w:p w14:paraId="7B6A979D" w14:textId="77777777" w:rsidR="003E20DF" w:rsidRDefault="00F01A5C" w:rsidP="00E72F6C">
      <w:pPr>
        <w:ind w:firstLine="708"/>
        <w:jc w:val="both"/>
      </w:pPr>
      <w:r>
        <w:t>Nedospjele obveze za financijsku imovinu čine kreditne obveze temeljem dugoročnih kredita za investicije u iznosu 27.810.213,15 eura. Pregled istih dan je u bilješkama uz obrazac Bilanca.</w:t>
      </w:r>
    </w:p>
    <w:p w14:paraId="43475C18" w14:textId="77777777" w:rsidR="003E20DF" w:rsidRDefault="003E20DF"/>
    <w:p w14:paraId="23A4DA84" w14:textId="77777777" w:rsidR="003E20DF" w:rsidRDefault="00F01A5C">
      <w:pPr>
        <w:keepNext/>
        <w:spacing w:line="240" w:lineRule="auto"/>
        <w:jc w:val="center"/>
      </w:pPr>
      <w:r>
        <w:rPr>
          <w:sz w:val="28"/>
        </w:rPr>
        <w:lastRenderedPageBreak/>
        <w:t>Bilješka 119.</w:t>
      </w:r>
    </w:p>
    <w:tbl>
      <w:tblPr>
        <w:tblW w:w="9000" w:type="dxa"/>
        <w:tblInd w:w="-15"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3E20DF" w14:paraId="39AB6BDF" w14:textId="77777777">
        <w:trPr>
          <w:cantSplit/>
        </w:trPr>
        <w:tc>
          <w:tcPr>
            <w:tcW w:w="700" w:type="dxa"/>
            <w:shd w:val="clear" w:color="auto" w:fill="E7F0F9"/>
            <w:tcMar>
              <w:top w:w="0" w:type="dxa"/>
              <w:bottom w:w="0" w:type="dxa"/>
            </w:tcMar>
            <w:vAlign w:val="center"/>
          </w:tcPr>
          <w:p w14:paraId="065FAC9C" w14:textId="77777777" w:rsidR="003E20DF" w:rsidRDefault="00F01A5C">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F6D880F" w14:textId="77777777" w:rsidR="003E20DF" w:rsidRDefault="00F01A5C">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8096172" w14:textId="77777777" w:rsidR="003E20DF" w:rsidRDefault="00F01A5C">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AEC1C85" w14:textId="77777777" w:rsidR="003E20DF" w:rsidRDefault="00F01A5C">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3F0EE672" w14:textId="77777777" w:rsidR="003E20DF" w:rsidRDefault="00F01A5C">
            <w:pPr>
              <w:keepNext/>
              <w:keepLines/>
              <w:spacing w:after="0" w:line="240" w:lineRule="auto"/>
              <w:jc w:val="center"/>
            </w:pPr>
            <w:r>
              <w:rPr>
                <w:b/>
                <w:sz w:val="18"/>
              </w:rPr>
              <w:t>Indeks (%)</w:t>
            </w:r>
          </w:p>
        </w:tc>
      </w:tr>
      <w:tr w:rsidR="003E20DF" w14:paraId="19293512" w14:textId="77777777">
        <w:trPr>
          <w:cantSplit/>
          <w:trHeight w:val="560"/>
        </w:trPr>
        <w:tc>
          <w:tcPr>
            <w:tcW w:w="700" w:type="dxa"/>
            <w:tcMar>
              <w:top w:w="0" w:type="dxa"/>
              <w:bottom w:w="0" w:type="dxa"/>
            </w:tcMar>
            <w:vAlign w:val="center"/>
          </w:tcPr>
          <w:p w14:paraId="0056164B" w14:textId="77777777" w:rsidR="003E20DF" w:rsidRDefault="00F01A5C">
            <w:pPr>
              <w:keepNext/>
              <w:keepLines/>
              <w:spacing w:after="0" w:line="240" w:lineRule="auto"/>
            </w:pPr>
            <w:r>
              <w:rPr>
                <w:sz w:val="18"/>
              </w:rPr>
              <w:t>27</w:t>
            </w:r>
          </w:p>
        </w:tc>
        <w:tc>
          <w:tcPr>
            <w:tcW w:w="3180" w:type="dxa"/>
            <w:tcMar>
              <w:top w:w="0" w:type="dxa"/>
              <w:bottom w:w="0" w:type="dxa"/>
            </w:tcMar>
            <w:vAlign w:val="center"/>
          </w:tcPr>
          <w:p w14:paraId="01A1EB47" w14:textId="77777777" w:rsidR="003E20DF" w:rsidRDefault="00F01A5C">
            <w:pPr>
              <w:keepNext/>
              <w:keepLines/>
              <w:spacing w:after="0" w:line="240" w:lineRule="auto"/>
            </w:pPr>
            <w:r>
              <w:rPr>
                <w:sz w:val="18"/>
              </w:rPr>
              <w:t>Obveze za predujmove, depozite, jamčevne pologe i tuđe prihode</w:t>
            </w:r>
          </w:p>
        </w:tc>
        <w:tc>
          <w:tcPr>
            <w:tcW w:w="700" w:type="dxa"/>
            <w:tcMar>
              <w:top w:w="0" w:type="dxa"/>
              <w:bottom w:w="0" w:type="dxa"/>
            </w:tcMar>
            <w:vAlign w:val="center"/>
          </w:tcPr>
          <w:p w14:paraId="3BCBC6D4" w14:textId="77777777" w:rsidR="003E20DF" w:rsidRDefault="00F01A5C">
            <w:pPr>
              <w:keepNext/>
              <w:keepLines/>
              <w:spacing w:after="0" w:line="240" w:lineRule="auto"/>
            </w:pPr>
            <w:r>
              <w:rPr>
                <w:sz w:val="18"/>
              </w:rPr>
              <w:t>ND27</w:t>
            </w:r>
          </w:p>
        </w:tc>
        <w:tc>
          <w:tcPr>
            <w:tcW w:w="1860" w:type="dxa"/>
            <w:tcMar>
              <w:top w:w="0" w:type="dxa"/>
              <w:bottom w:w="0" w:type="dxa"/>
            </w:tcMar>
            <w:vAlign w:val="center"/>
          </w:tcPr>
          <w:p w14:paraId="13979889" w14:textId="77777777" w:rsidR="003E20DF" w:rsidRDefault="00F01A5C">
            <w:pPr>
              <w:keepNext/>
              <w:keepLines/>
              <w:spacing w:after="0" w:line="240" w:lineRule="auto"/>
              <w:jc w:val="right"/>
            </w:pPr>
            <w:r>
              <w:rPr>
                <w:sz w:val="18"/>
              </w:rPr>
              <w:t>2.292.418,63</w:t>
            </w:r>
          </w:p>
        </w:tc>
        <w:tc>
          <w:tcPr>
            <w:tcW w:w="700" w:type="dxa"/>
            <w:tcMar>
              <w:top w:w="0" w:type="dxa"/>
              <w:bottom w:w="0" w:type="dxa"/>
            </w:tcMar>
            <w:vAlign w:val="center"/>
          </w:tcPr>
          <w:p w14:paraId="39C36C94" w14:textId="77777777" w:rsidR="003E20DF" w:rsidRDefault="00F01A5C">
            <w:pPr>
              <w:keepNext/>
              <w:keepLines/>
              <w:spacing w:after="0" w:line="240" w:lineRule="auto"/>
              <w:jc w:val="right"/>
            </w:pPr>
            <w:r>
              <w:rPr>
                <w:sz w:val="18"/>
              </w:rPr>
              <w:t>-</w:t>
            </w:r>
          </w:p>
        </w:tc>
      </w:tr>
    </w:tbl>
    <w:p w14:paraId="5CE5BC11" w14:textId="77777777" w:rsidR="003E20DF" w:rsidRDefault="003E20DF">
      <w:pPr>
        <w:spacing w:after="0"/>
      </w:pPr>
    </w:p>
    <w:p w14:paraId="746CD1C8" w14:textId="77777777" w:rsidR="003E20DF" w:rsidRDefault="00F01A5C" w:rsidP="00E72F6C">
      <w:pPr>
        <w:ind w:firstLine="708"/>
        <w:jc w:val="both"/>
      </w:pPr>
      <w:r>
        <w:t>U okviru ovih obveza iskazane su i obveze za uplaćene jamčevine i depozite za prihode Grada, provedene javne nabave i dr. u iznosu 829.220,01 eura. Nadalje, iskazani su predujmovi po EU projektima u iznosu 1.463.198,62 eura, od čega je najznačajniji iznos predujma vezan za projekt rekonstrukcije kupališta Copacabana u iznosu 1.200.000,00 eura.</w:t>
      </w:r>
    </w:p>
    <w:p w14:paraId="0DB8DE4B" w14:textId="77777777" w:rsidR="003E20DF" w:rsidRDefault="003E20DF" w:rsidP="008B6206">
      <w:pPr>
        <w:jc w:val="both"/>
      </w:pPr>
    </w:p>
    <w:p w14:paraId="0834A7CF" w14:textId="77777777" w:rsidR="003E20DF" w:rsidRDefault="00F01A5C">
      <w:pPr>
        <w:keepNext/>
        <w:spacing w:line="240" w:lineRule="auto"/>
        <w:jc w:val="center"/>
      </w:pPr>
      <w:r>
        <w:rPr>
          <w:sz w:val="28"/>
        </w:rPr>
        <w:t>Bilješka 120.</w:t>
      </w:r>
    </w:p>
    <w:p w14:paraId="67166B64" w14:textId="77777777" w:rsidR="003E20DF" w:rsidRDefault="00F01A5C">
      <w:pPr>
        <w:spacing w:line="240" w:lineRule="auto"/>
        <w:jc w:val="both"/>
      </w:pPr>
      <w:r>
        <w:rPr>
          <w:b/>
        </w:rPr>
        <w:t>EU izvještaj</w:t>
      </w:r>
    </w:p>
    <w:p w14:paraId="6222C832" w14:textId="77777777" w:rsidR="003E20DF" w:rsidRPr="008B6206" w:rsidRDefault="00F01A5C">
      <w:pPr>
        <w:rPr>
          <w:b/>
          <w:bCs/>
        </w:rPr>
      </w:pPr>
      <w:r w:rsidRPr="008B6206">
        <w:rPr>
          <w:b/>
          <w:bCs/>
        </w:rPr>
        <w:t>SAŽETI IZVJEŠTAJ O EU PROJEKTIMA PREMA IZVORIMA FINANCIRANJA</w:t>
      </w:r>
    </w:p>
    <w:p w14:paraId="6B672371" w14:textId="77777777" w:rsidR="003E20DF" w:rsidRDefault="00F01A5C">
      <w:r>
        <w:t> </w:t>
      </w:r>
    </w:p>
    <w:p w14:paraId="6EC79ADD" w14:textId="77777777" w:rsidR="003E20DF" w:rsidRPr="008B6206" w:rsidRDefault="00F01A5C">
      <w:pPr>
        <w:rPr>
          <w:b/>
          <w:bCs/>
        </w:rPr>
      </w:pPr>
      <w:r w:rsidRPr="008B6206">
        <w:rPr>
          <w:b/>
          <w:bCs/>
        </w:rPr>
        <w:t>Izvor 510</w:t>
      </w:r>
    </w:p>
    <w:p w14:paraId="7A8CF104" w14:textId="77777777" w:rsidR="003E20DF" w:rsidRDefault="00F01A5C">
      <w:r>
        <w:t>HORIZON / OBZOR – Program za istraživanje i inovacije (Programi Unije)</w:t>
      </w:r>
    </w:p>
    <w:p w14:paraId="0C07137A" w14:textId="77777777" w:rsidR="003E20DF" w:rsidRDefault="00F01A5C">
      <w:r>
        <w:t>Obzor Europa ref.br. 101079948 - EHHUR-HORIZON-MISS-2021-NEB-01</w:t>
      </w:r>
      <w:r>
        <w:br/>
        <w:t> </w:t>
      </w:r>
    </w:p>
    <w:p w14:paraId="0682EDE4" w14:textId="77777777" w:rsidR="003E20DF" w:rsidRDefault="00F01A5C">
      <w:r>
        <w:t> </w:t>
      </w:r>
    </w:p>
    <w:p w14:paraId="67ECEAA4" w14:textId="77777777" w:rsidR="003E20DF" w:rsidRPr="008B6206" w:rsidRDefault="00F01A5C">
      <w:pPr>
        <w:rPr>
          <w:b/>
          <w:bCs/>
        </w:rPr>
      </w:pPr>
      <w:r w:rsidRPr="008B6206">
        <w:rPr>
          <w:b/>
          <w:bCs/>
        </w:rPr>
        <w:t>Izvor 561</w:t>
      </w:r>
    </w:p>
    <w:p w14:paraId="06F272DE" w14:textId="77777777" w:rsidR="003E20DF" w:rsidRDefault="00F01A5C">
      <w:r>
        <w:t>Osigurajmo im jednakost</w:t>
      </w:r>
    </w:p>
    <w:p w14:paraId="1E2D6799" w14:textId="77777777" w:rsidR="003E20DF" w:rsidRDefault="00F01A5C">
      <w:r>
        <w:t> </w:t>
      </w:r>
    </w:p>
    <w:p w14:paraId="4EEC0DDB" w14:textId="77777777" w:rsidR="003E20DF" w:rsidRDefault="00F01A5C">
      <w:r>
        <w:t> </w:t>
      </w:r>
    </w:p>
    <w:p w14:paraId="50DC6A04" w14:textId="77777777" w:rsidR="003E20DF" w:rsidRPr="008B6206" w:rsidRDefault="00F01A5C">
      <w:pPr>
        <w:rPr>
          <w:b/>
          <w:bCs/>
        </w:rPr>
      </w:pPr>
      <w:r w:rsidRPr="008B6206">
        <w:rPr>
          <w:b/>
          <w:bCs/>
        </w:rPr>
        <w:t>Izvor 563</w:t>
      </w:r>
    </w:p>
    <w:p w14:paraId="32DC0507" w14:textId="77777777" w:rsidR="003E20DF" w:rsidRDefault="00F01A5C">
      <w:r>
        <w:t>Europska teritorijalna suradnja i Europski fond za regionalni razvoj</w:t>
      </w:r>
    </w:p>
    <w:p w14:paraId="3DB9B4C3" w14:textId="77777777" w:rsidR="003E20DF" w:rsidRDefault="00F01A5C">
      <w:r>
        <w:t>Projekti se provode kroz sljedeće programe:</w:t>
      </w:r>
    </w:p>
    <w:p w14:paraId="185860CD" w14:textId="77777777" w:rsidR="003E20DF" w:rsidRDefault="00F01A5C">
      <w:r>
        <w:t>Interreg Central Europe</w:t>
      </w:r>
      <w:r>
        <w:br/>
        <w:t>UrbanBlueHealth</w:t>
      </w:r>
      <w:r>
        <w:br/>
        <w:t>RE-PUBLIC SPACES CE0200517</w:t>
      </w:r>
      <w:r>
        <w:br/>
        <w:t>Interreg Croatia-Serbia</w:t>
      </w:r>
      <w:r>
        <w:br/>
        <w:t>Creategreen HR-RS00158</w:t>
      </w:r>
      <w:r>
        <w:br/>
        <w:t>INTERCLIM HR-RS00094</w:t>
      </w:r>
      <w:r>
        <w:br/>
        <w:t>URBACT IV</w:t>
      </w:r>
      <w:r>
        <w:br/>
        <w:t>URBACT-WELDI network</w:t>
      </w:r>
      <w:r>
        <w:br/>
      </w:r>
      <w:r>
        <w:lastRenderedPageBreak/>
        <w:t>CITIES@HEART (C@H 1678287017)</w:t>
      </w:r>
      <w:r>
        <w:br/>
        <w:t>Integrirani teritorijalni program 2021-2027</w:t>
      </w:r>
      <w:r>
        <w:br/>
        <w:t>Biciklističke staze Grada Osijeka</w:t>
      </w:r>
      <w:r>
        <w:br/>
        <w:t>Rekonstrukcija Copacabana</w:t>
      </w:r>
      <w:r>
        <w:br/>
        <w:t>Konkurentnost i kohezija</w:t>
      </w:r>
      <w:r>
        <w:br/>
        <w:t>Rekonstrukcija i dogradnja Dječjeg vrtića Centar</w:t>
      </w:r>
      <w:r>
        <w:br/>
        <w:t>Izgradnja Dječjeg vrtića Bambi u Podravlju</w:t>
      </w:r>
      <w:r>
        <w:br/>
        <w:t> </w:t>
      </w:r>
    </w:p>
    <w:p w14:paraId="118668A6" w14:textId="77777777" w:rsidR="003E20DF" w:rsidRDefault="00F01A5C">
      <w:r>
        <w:t> </w:t>
      </w:r>
    </w:p>
    <w:p w14:paraId="6C69696A" w14:textId="77777777" w:rsidR="003E20DF" w:rsidRPr="008B6206" w:rsidRDefault="00F01A5C">
      <w:pPr>
        <w:rPr>
          <w:b/>
          <w:bCs/>
        </w:rPr>
      </w:pPr>
      <w:r w:rsidRPr="008B6206">
        <w:rPr>
          <w:b/>
          <w:bCs/>
        </w:rPr>
        <w:t>Izvor 581</w:t>
      </w:r>
    </w:p>
    <w:p w14:paraId="22FE01CB" w14:textId="77777777" w:rsidR="003E20DF" w:rsidRDefault="00F01A5C">
      <w:r>
        <w:t>NPOO – Nacionalni plan oporavka i otpornosti 2021.–2026.</w:t>
      </w:r>
      <w:r>
        <w:br/>
        <w:t>(financirano kroz Mehanizam za oporavak i otpornost – bespovratna sredstva)</w:t>
      </w:r>
    </w:p>
    <w:p w14:paraId="05978D02" w14:textId="77777777" w:rsidR="003E20DF" w:rsidRDefault="00F01A5C">
      <w:r>
        <w:t>U okviru Nacionalni plan oporavka i otpornosti 2021-2026 provode se projekti usmjereni na jačanje otpornosti, energetsku učinkovitost i razvoj obrazovne infrastrukture:</w:t>
      </w:r>
    </w:p>
    <w:p w14:paraId="22094B69" w14:textId="77777777" w:rsidR="003E20DF" w:rsidRDefault="00F01A5C">
      <w:r>
        <w:t>Izgradnja i rekonstrukcija osnovnih škola</w:t>
      </w:r>
      <w:r>
        <w:br/>
        <w:t>Energetska obnova ETC Mačkamama (NPOO.C6.1.R1-I1.04.0211)</w:t>
      </w:r>
      <w:r>
        <w:br/>
        <w:t>Energetska obnova DV Krijesnica (NPOO.C6.1.R1-I1.04.0179)</w:t>
      </w:r>
      <w:r>
        <w:br/>
        <w:t>Energetska obnova Javne vatrogasne postrojbe Grada Osijeka (NPOO.C6.1.R1-I1.04.0210)</w:t>
      </w:r>
    </w:p>
    <w:p w14:paraId="599ED223" w14:textId="77777777" w:rsidR="003E20DF" w:rsidRDefault="003E20DF"/>
    <w:sectPr w:rsidR="003E20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0DF"/>
    <w:rsid w:val="00010D0F"/>
    <w:rsid w:val="00094CFF"/>
    <w:rsid w:val="000D2576"/>
    <w:rsid w:val="00131ED9"/>
    <w:rsid w:val="001B4CFE"/>
    <w:rsid w:val="00236FC9"/>
    <w:rsid w:val="003403F4"/>
    <w:rsid w:val="003E20DF"/>
    <w:rsid w:val="003E63F9"/>
    <w:rsid w:val="00581984"/>
    <w:rsid w:val="005C74B6"/>
    <w:rsid w:val="00643908"/>
    <w:rsid w:val="00677B92"/>
    <w:rsid w:val="00882057"/>
    <w:rsid w:val="008B0AE5"/>
    <w:rsid w:val="008B6206"/>
    <w:rsid w:val="009564AA"/>
    <w:rsid w:val="009F6810"/>
    <w:rsid w:val="00A80895"/>
    <w:rsid w:val="00AF5C09"/>
    <w:rsid w:val="00B20751"/>
    <w:rsid w:val="00D12000"/>
    <w:rsid w:val="00DA5BBD"/>
    <w:rsid w:val="00E42C07"/>
    <w:rsid w:val="00E57D48"/>
    <w:rsid w:val="00E72F6C"/>
    <w:rsid w:val="00E77D40"/>
    <w:rsid w:val="00EB529A"/>
    <w:rsid w:val="00F01A5C"/>
    <w:rsid w:val="00F7326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19C8F"/>
  <w15:docId w15:val="{0087D133-6128-42D7-89A3-A07E9658B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50</TotalTime>
  <Pages>43</Pages>
  <Words>10770</Words>
  <Characters>61393</Characters>
  <Application>Microsoft Office Word</Application>
  <DocSecurity>0</DocSecurity>
  <Lines>511</Lines>
  <Paragraphs>144</Paragraphs>
  <ScaleCrop>false</ScaleCrop>
  <Company/>
  <LinksUpToDate>false</LinksUpToDate>
  <CharactersWithSpaces>72019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Gabrijela Telarović</dc:creator>
  <cp:lastModifiedBy>Tina Cvitković</cp:lastModifiedBy>
  <cp:revision>24</cp:revision>
  <cp:lastPrinted>2026-02-20T12:22:00Z</cp:lastPrinted>
  <dcterms:created xsi:type="dcterms:W3CDTF">2026-02-20T11:35:00Z</dcterms:created>
  <dcterms:modified xsi:type="dcterms:W3CDTF">2026-02-20T12:29:00Z</dcterms:modified>
</cp:coreProperties>
</file>