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A1C3D" w14:textId="77777777" w:rsidR="00903E17" w:rsidRPr="00D71A1A" w:rsidRDefault="00903E17" w:rsidP="00903E17">
      <w:pPr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b/>
          <w:sz w:val="24"/>
          <w:szCs w:val="24"/>
          <w:lang w:eastAsia="hr-HR"/>
        </w:rPr>
        <w:t>GRAD OSIJEK</w:t>
      </w: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, Kuhačeva 9, Osijek, OIB: 30050049642, koga zastupa gradonačelnik Ivan Radić, </w:t>
      </w:r>
      <w:proofErr w:type="spellStart"/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mag.oec</w:t>
      </w:r>
      <w:proofErr w:type="spellEnd"/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. (u nastavku teksta: Naručitelj)</w:t>
      </w:r>
    </w:p>
    <w:p w14:paraId="532A36E3" w14:textId="77777777" w:rsidR="00903E17" w:rsidRPr="00D71A1A" w:rsidRDefault="00903E17" w:rsidP="00903E17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i</w:t>
      </w:r>
    </w:p>
    <w:p w14:paraId="158888E5" w14:textId="77777777" w:rsidR="00903E17" w:rsidRPr="00D71A1A" w:rsidRDefault="00903E17" w:rsidP="00903E17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_____________</w:t>
      </w:r>
      <w:r w:rsidRPr="00D71A1A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OIB: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>_________</w:t>
      </w:r>
      <w:r w:rsidRPr="00D71A1A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koga zastupaju</w:t>
      </w:r>
      <w:r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 _________</w:t>
      </w:r>
      <w:r w:rsidRPr="00D71A1A">
        <w:rPr>
          <w:rFonts w:ascii="Times New Roman" w:eastAsia="Times New Roman" w:hAnsi="Times New Roman"/>
          <w:bCs/>
          <w:iCs/>
          <w:color w:val="FF0000"/>
          <w:sz w:val="24"/>
          <w:szCs w:val="24"/>
          <w:lang w:eastAsia="hr-HR"/>
        </w:rPr>
        <w:t xml:space="preserve"> </w:t>
      </w:r>
      <w:r w:rsidRPr="00D71A1A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(u nastavku teksta: Pružatelj usluga), </w:t>
      </w:r>
    </w:p>
    <w:p w14:paraId="31F87848" w14:textId="77777777" w:rsidR="00903E17" w:rsidRPr="00D71A1A" w:rsidRDefault="00903E17" w:rsidP="00903E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val="pl-PL" w:eastAsia="hr-HR"/>
        </w:rPr>
        <w:t xml:space="preserve">zaključili su </w:t>
      </w:r>
    </w:p>
    <w:p w14:paraId="242B39C0" w14:textId="77777777" w:rsidR="00903E17" w:rsidRPr="00D71A1A" w:rsidRDefault="00903E17" w:rsidP="00903E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 G O V O R</w:t>
      </w:r>
    </w:p>
    <w:p w14:paraId="29533B31" w14:textId="77777777" w:rsidR="00903E17" w:rsidRPr="00D71A1A" w:rsidRDefault="00903E17" w:rsidP="00903E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PRUŽANJU GRAFIČKIH I TISKARSKIH USLUGA</w:t>
      </w:r>
    </w:p>
    <w:p w14:paraId="7912825E" w14:textId="77777777" w:rsidR="00903E17" w:rsidRPr="00D71A1A" w:rsidRDefault="00903E17" w:rsidP="00903E17">
      <w:pPr>
        <w:widowControl w:val="0"/>
        <w:tabs>
          <w:tab w:val="center" w:pos="4536"/>
          <w:tab w:val="left" w:pos="7335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5620397F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Ovaj ugovor sklapa se na temelju provedenog postupka prikupljanja ponuda za </w:t>
      </w:r>
      <w:r w:rsidRPr="00D71A1A">
        <w:rPr>
          <w:rFonts w:ascii="Times New Roman" w:eastAsia="Times New Roman" w:hAnsi="Times New Roman"/>
          <w:noProof/>
          <w:sz w:val="24"/>
          <w:szCs w:val="24"/>
          <w:lang w:eastAsia="hr-HR"/>
        </w:rPr>
        <w:t>grafičke i tiskarske usluge, Rješenja o sklapanju Ugovora o pružanju grafičkih i tiskarskih usluga, KLASA:406-09/2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4</w:t>
      </w:r>
      <w:r w:rsidRPr="00D71A1A">
        <w:rPr>
          <w:rFonts w:ascii="Times New Roman" w:eastAsia="Times New Roman" w:hAnsi="Times New Roman"/>
          <w:noProof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89</w:t>
      </w:r>
      <w:r w:rsidRPr="00D71A1A">
        <w:rPr>
          <w:rFonts w:ascii="Times New Roman" w:eastAsia="Times New Roman" w:hAnsi="Times New Roman"/>
          <w:noProof/>
          <w:sz w:val="24"/>
          <w:szCs w:val="24"/>
          <w:lang w:eastAsia="hr-HR"/>
        </w:rPr>
        <w:t>, URBROJ: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________</w:t>
      </w:r>
      <w:r w:rsidRPr="00D71A1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________</w:t>
      </w:r>
      <w:r w:rsidRPr="00D71A1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 </w:t>
      </w: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ponude Pružatelja usluge broj </w:t>
      </w:r>
      <w:r>
        <w:rPr>
          <w:rFonts w:ascii="Times New Roman" w:eastAsia="Times New Roman" w:hAnsi="Times New Roman"/>
          <w:sz w:val="24"/>
          <w:szCs w:val="20"/>
          <w:lang w:val="en-US" w:eastAsia="hr-HR"/>
        </w:rPr>
        <w:t>______</w:t>
      </w:r>
      <w:r w:rsidRPr="00D71A1A">
        <w:rPr>
          <w:rFonts w:ascii="Times New Roman" w:eastAsia="Times New Roman" w:hAnsi="Times New Roman"/>
          <w:sz w:val="24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n-US" w:eastAsia="hr-HR"/>
        </w:rPr>
        <w:t>od__________.</w:t>
      </w:r>
    </w:p>
    <w:p w14:paraId="2D4AA5F6" w14:textId="77777777" w:rsidR="00903E17" w:rsidRPr="00D71A1A" w:rsidRDefault="00903E17" w:rsidP="00903E1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23CDACA1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Predmet ovog ugovora su tiskarske i grafičke usluge za potrebe Naručitelja sukladno troškovniku i ponudi Pružatelja usluga iz čl. 1. ovog ugovora.</w:t>
      </w:r>
    </w:p>
    <w:p w14:paraId="2464634C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Količine navedene u troškovniku su okvirne. Stvarna nabavljena količina usluga može biti veća ili manja od okvirne količine. Ukupna plaćanja temeljem ovog ugovora ne smiju prelaziti procijenjenu vrijednost nabave koja iznosi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8.000,00</w:t>
      </w: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 eura (bez PDV-a).</w:t>
      </w:r>
    </w:p>
    <w:p w14:paraId="3A422709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Cijena pojedine usluge utvrđena je ponudom iz čl. 1. ovog ugovora i troškovnikom te je ona nepromjenjiva tijekom trajanja ovog ugovora.</w:t>
      </w:r>
    </w:p>
    <w:p w14:paraId="16E0689A" w14:textId="77777777" w:rsidR="00903E17" w:rsidRPr="00D71A1A" w:rsidRDefault="00903E17" w:rsidP="00903E1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Članak 3.</w:t>
      </w:r>
    </w:p>
    <w:p w14:paraId="3A1997BD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Pružatelj usluga se obvezuje usluge iz članka 2. vršiti tijekom jedne godine od dana stupanja na snagu ovog ugovora ili do utroška sredstava i članka 2. stavka 3. ovog ugovora, sukladno potrebama Naručitelja. </w:t>
      </w:r>
    </w:p>
    <w:p w14:paraId="02DF058E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Svaku pojedinu narudžbu Pružatelj usluga je obvezan izvršiti u roku definiranom u troškovniku za svaku pojedinu stavku od dana zaprimanja pisanog zahtjeva za izvršenje pojedine narudžbe i svih potrebnih grafičkih i tekstualnih materijala ili uzoraka. Svaki probni tisak mora ovjeriti ovlaštena osoba Naručitelja.</w:t>
      </w:r>
    </w:p>
    <w:p w14:paraId="40E4CE89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Naručitelj pisani zahtjev dostavlja putem elektroničke pošte.</w:t>
      </w:r>
    </w:p>
    <w:p w14:paraId="24D42F39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Mjesto isporuke je Grad Osijek, Kuhačeva 9, Osijek.</w:t>
      </w:r>
    </w:p>
    <w:p w14:paraId="7B2452D4" w14:textId="77777777" w:rsidR="00903E17" w:rsidRPr="00D71A1A" w:rsidRDefault="00903E17" w:rsidP="00903E1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Članak 4.</w:t>
      </w:r>
    </w:p>
    <w:p w14:paraId="3B8A86E7" w14:textId="77777777" w:rsidR="00903E17" w:rsidRPr="00D71A1A" w:rsidRDefault="00903E17" w:rsidP="00903E17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Naručitelj će isporučenu robu platiti temeljem ispostavljenih mjesečnih računa u roku do 30 (trideset) dana od dana zaprimanja urednog </w:t>
      </w:r>
      <w:proofErr w:type="spellStart"/>
      <w:r w:rsidRPr="00D71A1A">
        <w:rPr>
          <w:rFonts w:ascii="Times New Roman" w:eastAsia="Times New Roman" w:hAnsi="Times New Roman"/>
          <w:bCs/>
          <w:sz w:val="24"/>
          <w:szCs w:val="24"/>
          <w:lang w:eastAsia="hr-HR"/>
        </w:rPr>
        <w:t>eRačuna</w:t>
      </w:r>
      <w:proofErr w:type="spellEnd"/>
      <w:r w:rsidRPr="00D71A1A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na žiro – račun Pružatelja usluga.</w:t>
      </w:r>
    </w:p>
    <w:p w14:paraId="4C66175F" w14:textId="77777777" w:rsidR="00903E17" w:rsidRPr="00D71A1A" w:rsidRDefault="00903E17" w:rsidP="00903E17">
      <w:pPr>
        <w:tabs>
          <w:tab w:val="left" w:pos="180"/>
        </w:tabs>
        <w:spacing w:before="120"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bookmarkStart w:id="0" w:name="_Hlk111806382"/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Pružatelj usluga </w:t>
      </w:r>
      <w:bookmarkEnd w:id="0"/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je obvezan uz račun priložiti dokaz o izvršenim uslugama</w:t>
      </w:r>
      <w:r w:rsidRPr="00D71A1A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 w:rsidRPr="00D71A1A">
        <w:rPr>
          <w:rFonts w:ascii="Times New Roman" w:eastAsia="Times New Roman" w:hAnsi="Times New Roman"/>
          <w:iCs/>
          <w:sz w:val="24"/>
          <w:szCs w:val="24"/>
          <w:lang w:eastAsia="hr-HR"/>
        </w:rPr>
        <w:t>(npr. otpremnica).</w:t>
      </w:r>
      <w:r w:rsidRPr="00D71A1A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</w:p>
    <w:p w14:paraId="039B6DFC" w14:textId="77777777" w:rsidR="00903E17" w:rsidRPr="00D71A1A" w:rsidRDefault="00903E17" w:rsidP="00903E17">
      <w:pPr>
        <w:tabs>
          <w:tab w:val="left" w:pos="180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71A1A">
        <w:rPr>
          <w:rFonts w:ascii="Times New Roman" w:eastAsia="Times New Roman" w:hAnsi="Times New Roman"/>
          <w:bCs/>
          <w:sz w:val="24"/>
          <w:szCs w:val="24"/>
        </w:rPr>
        <w:t xml:space="preserve">Pružatelj usluga je obvezan izdati elektronički račun i prateće isprave sukladno europskoj normi u zakonski propisanom, strukturiranom formatu, a sve sukladno Zakonu o elektroničkom izdavanju računa u javnoj nabavi (NN 94/18). </w:t>
      </w:r>
    </w:p>
    <w:p w14:paraId="7CD7012F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Naručitelj ima pravo prigovora na račun ako utvrdi nepravilnosti te pozvati Pružatelja usluga da uočene nepravilnosti otkloni i objasni. U tom slučaju rok plaćanja počinje teći od dana kada je Naručitelj zaprimio pisano objašnjenje s otklonjenim uočenim nepravilnostima.</w:t>
      </w:r>
    </w:p>
    <w:p w14:paraId="5F556175" w14:textId="77777777" w:rsidR="00903E17" w:rsidRPr="00D71A1A" w:rsidRDefault="00903E17" w:rsidP="00903E17">
      <w:pPr>
        <w:spacing w:before="120" w:after="12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Članak 5.</w:t>
      </w:r>
    </w:p>
    <w:p w14:paraId="6988A93B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Pružatelj usluga se obvezuje ugovorenu uslugu izvršiti kvalitetno, a sve primjedbe u pogledu kvalitete obavljanja usluge, Naručitelj će predočiti Pružatelju usluga u roku od 3 (tri) dana od dana izvršenja usluge odnosno primopredaje tiskanih materijala.</w:t>
      </w:r>
    </w:p>
    <w:p w14:paraId="3AD13392" w14:textId="77777777" w:rsidR="00903E17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Osobe zadužene za praćenje realizacije ovog ugovora u ime Naručitelja su Jasna Marić i Vesna Škorak</w:t>
      </w:r>
      <w:r w:rsidRPr="00D71A1A">
        <w:rPr>
          <w:rFonts w:ascii="Times New Roman" w:eastAsia="Times New Roman" w:hAnsi="Times New Roman"/>
          <w:i/>
          <w:sz w:val="24"/>
          <w:szCs w:val="24"/>
          <w:lang w:eastAsia="hr-HR"/>
        </w:rPr>
        <w:t>.</w:t>
      </w:r>
    </w:p>
    <w:p w14:paraId="06B43A8A" w14:textId="77777777" w:rsidR="00903E17" w:rsidRPr="00B47080" w:rsidRDefault="00903E17" w:rsidP="00903E1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Praćenje Ugovora obuhvaća praćenje rokova izvršenja, praćenje financijske realizacije ugovora, praćenje ugovorenih i nabavljenih količina, pribavljanje instrumenata osiguranja.</w:t>
      </w:r>
    </w:p>
    <w:p w14:paraId="4B367315" w14:textId="77777777" w:rsidR="00903E17" w:rsidRPr="00D71A1A" w:rsidRDefault="00903E17" w:rsidP="00903E1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Članak 6.</w:t>
      </w:r>
    </w:p>
    <w:p w14:paraId="02E9DA41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U roku od 8 (osam) dana od dana potpisa Ugovora odabrani ponuditelj je obvezan dostaviti jamstvo za uredno ispunjenje ugovora </w:t>
      </w:r>
      <w:r w:rsidRPr="00D71A1A">
        <w:rPr>
          <w:rFonts w:ascii="Times New Roman" w:eastAsia="Times New Roman" w:hAnsi="Times New Roman"/>
          <w:bCs/>
          <w:sz w:val="24"/>
          <w:szCs w:val="24"/>
          <w:lang w:eastAsia="hr-HR"/>
        </w:rPr>
        <w:t>za slučaj povrede ugovornih obveza.</w:t>
      </w: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 Jamstvo se dostavlja u obliku bjanko zadužnice na iznos od 10% (deset posto) procijenjene vrijednosti nabave.</w:t>
      </w:r>
    </w:p>
    <w:p w14:paraId="6066991F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Naručitelj je ovlašten iz jamstva naplatiti sve štete nastale neurednim izvršenjem ugovornih obveza.</w:t>
      </w:r>
    </w:p>
    <w:p w14:paraId="5B0D2C3B" w14:textId="77777777" w:rsidR="00903E17" w:rsidRPr="00D71A1A" w:rsidRDefault="00903E17" w:rsidP="00903E1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Članak 7.</w:t>
      </w:r>
    </w:p>
    <w:p w14:paraId="2366A87B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Naručitelj ima pravo jednostrano raskinuti Ugovor ukoliko se Isporučitelj ne pridržava odredbi ovog ugovora, a posebno onih koji se odnose na kvalitetu isporučene robe i rokove isporuke. U tom slučaju Naručitelj će aktivirati jamstvo za uredno izvršenje ugovora.</w:t>
      </w:r>
    </w:p>
    <w:p w14:paraId="345A3061" w14:textId="77777777" w:rsidR="00903E17" w:rsidRPr="00D71A1A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U slučaju nastupanja raskida ugovora Pružatelj usluge nema pravo potraživati naknadu štete na trošak Naručitelja.</w:t>
      </w:r>
    </w:p>
    <w:p w14:paraId="02FECDD6" w14:textId="77777777" w:rsidR="00903E17" w:rsidRPr="00D71A1A" w:rsidRDefault="00903E17" w:rsidP="00903E17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Članak 8.</w:t>
      </w:r>
    </w:p>
    <w:p w14:paraId="042B40FF" w14:textId="77777777" w:rsidR="00903E17" w:rsidRPr="00D71A1A" w:rsidRDefault="00903E17" w:rsidP="00903E17">
      <w:pPr>
        <w:tabs>
          <w:tab w:val="left" w:pos="6765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Ugovorne strane su suglasne da će sve eventualne sporove proizašle iz ovog ugovora rješavati prvenstveno međusobnim dogovaranjem. </w:t>
      </w:r>
    </w:p>
    <w:p w14:paraId="0A69173D" w14:textId="77777777" w:rsidR="00903E17" w:rsidRPr="00D71A1A" w:rsidRDefault="00903E17" w:rsidP="00903E17">
      <w:pPr>
        <w:tabs>
          <w:tab w:val="left" w:pos="6765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Ako ugovorne strane ne uspiju riješiti nastali spor ili problem međusobnim dogovaranjem, za odlučivanje o sporu nadležan je stvarno nadležni sud u Osijeku. </w:t>
      </w:r>
    </w:p>
    <w:p w14:paraId="7CAD23CA" w14:textId="77777777" w:rsidR="00903E17" w:rsidRPr="00D71A1A" w:rsidRDefault="00903E17" w:rsidP="00903E17">
      <w:pPr>
        <w:tabs>
          <w:tab w:val="left" w:pos="6765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Ugovorne strane su suglasne da će se na uređenje svih ostalih odnosa iz ovog ugovora primjenjivati odredbe važećeg Zakona o obveznim odnosima. </w:t>
      </w:r>
    </w:p>
    <w:p w14:paraId="1942E683" w14:textId="77777777" w:rsidR="00903E17" w:rsidRDefault="00903E17" w:rsidP="00903E17">
      <w:pPr>
        <w:tabs>
          <w:tab w:val="left" w:pos="6765"/>
        </w:tabs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Članak 9.</w:t>
      </w:r>
    </w:p>
    <w:p w14:paraId="3691F25A" w14:textId="77777777" w:rsidR="00903E17" w:rsidRDefault="00903E17" w:rsidP="00903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1130F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Ovaj ugovor sklapa se na razdoblje od 1 (jedne) godine, a stupa na snagu danom potpisa ugovornih strana. </w:t>
      </w:r>
    </w:p>
    <w:p w14:paraId="180B3A78" w14:textId="77777777" w:rsidR="00903E17" w:rsidRPr="0061303D" w:rsidRDefault="00903E17" w:rsidP="00903E1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EB3E23">
        <w:rPr>
          <w:rFonts w:ascii="Times New Roman" w:eastAsia="Times New Roman" w:hAnsi="Times New Roman"/>
          <w:sz w:val="24"/>
          <w:szCs w:val="24"/>
          <w:lang w:eastAsia="hr-HR"/>
        </w:rPr>
        <w:t xml:space="preserve">U slučaju otkaza ugovora prije isteka ugovorenog roka, ugovorne strane su se dužne pridržavati otkaznog roka od 30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(trideset) </w:t>
      </w:r>
      <w:r w:rsidRPr="00EB3E23">
        <w:rPr>
          <w:rFonts w:ascii="Times New Roman" w:eastAsia="Times New Roman" w:hAnsi="Times New Roman"/>
          <w:sz w:val="24"/>
          <w:szCs w:val="24"/>
          <w:lang w:eastAsia="hr-HR"/>
        </w:rPr>
        <w:t xml:space="preserve">dana. </w:t>
      </w:r>
    </w:p>
    <w:p w14:paraId="01CEC3EC" w14:textId="77777777" w:rsidR="00903E17" w:rsidRPr="00D71A1A" w:rsidRDefault="00903E17" w:rsidP="00903E17">
      <w:pPr>
        <w:tabs>
          <w:tab w:val="left" w:pos="6765"/>
        </w:tabs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Članak 10.</w:t>
      </w:r>
    </w:p>
    <w:p w14:paraId="743EDC4B" w14:textId="77777777" w:rsidR="00903E17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 xml:space="preserve">Ovaj ugovor sastavljen je u 4 (četiri) primjerka od kojih svaka ugovorna strana zadržava po 2 (dva) primjerka. </w:t>
      </w:r>
    </w:p>
    <w:p w14:paraId="2A9625DB" w14:textId="77777777" w:rsidR="00903E17" w:rsidRPr="00752E99" w:rsidRDefault="00903E17" w:rsidP="00903E1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370FA9" w14:textId="77777777" w:rsidR="00903E17" w:rsidRPr="00D71A1A" w:rsidRDefault="00903E17" w:rsidP="00903E17">
      <w:pPr>
        <w:tabs>
          <w:tab w:val="left" w:pos="6765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U Osijeku, _____________202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D71A1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4609CB7" w14:textId="77777777" w:rsidR="00903E17" w:rsidRPr="00D71A1A" w:rsidRDefault="00903E17" w:rsidP="00903E17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370"/>
      </w:tblGrid>
      <w:tr w:rsidR="00903E17" w:rsidRPr="00D71A1A" w14:paraId="4FB0833E" w14:textId="77777777" w:rsidTr="004E580C">
        <w:tc>
          <w:tcPr>
            <w:tcW w:w="4260" w:type="dxa"/>
            <w:shd w:val="clear" w:color="auto" w:fill="auto"/>
          </w:tcPr>
          <w:p w14:paraId="2968D58C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 PRUŽATELJA USLUGA:</w:t>
            </w:r>
          </w:p>
        </w:tc>
        <w:tc>
          <w:tcPr>
            <w:tcW w:w="4370" w:type="dxa"/>
            <w:shd w:val="clear" w:color="auto" w:fill="auto"/>
          </w:tcPr>
          <w:p w14:paraId="35D5371F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 NARUČITELJA:</w:t>
            </w:r>
          </w:p>
        </w:tc>
      </w:tr>
      <w:tr w:rsidR="00903E17" w:rsidRPr="00D71A1A" w14:paraId="31D026D9" w14:textId="77777777" w:rsidTr="004E580C">
        <w:tc>
          <w:tcPr>
            <w:tcW w:w="4260" w:type="dxa"/>
            <w:shd w:val="clear" w:color="auto" w:fill="auto"/>
          </w:tcPr>
          <w:p w14:paraId="41A7B957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370" w:type="dxa"/>
            <w:shd w:val="clear" w:color="auto" w:fill="auto"/>
          </w:tcPr>
          <w:p w14:paraId="5A7E13F3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GRADONAČELNIK</w:t>
            </w:r>
          </w:p>
        </w:tc>
      </w:tr>
      <w:tr w:rsidR="00903E17" w:rsidRPr="00D71A1A" w14:paraId="74028999" w14:textId="77777777" w:rsidTr="004E580C">
        <w:tc>
          <w:tcPr>
            <w:tcW w:w="4260" w:type="dxa"/>
            <w:shd w:val="clear" w:color="auto" w:fill="auto"/>
          </w:tcPr>
          <w:p w14:paraId="196F16F2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5CFF9A9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6A9A7A1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_____________________                             </w:t>
            </w:r>
          </w:p>
          <w:p w14:paraId="5590A028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285D021D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326D560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3D47840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191607D1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D36AB39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370" w:type="dxa"/>
            <w:shd w:val="clear" w:color="auto" w:fill="auto"/>
          </w:tcPr>
          <w:p w14:paraId="3553A2CB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Ivan Radić, </w:t>
            </w:r>
            <w:proofErr w:type="spellStart"/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mag.oec</w:t>
            </w:r>
            <w:proofErr w:type="spellEnd"/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64990D9A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5EABAE33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____________________</w:t>
            </w:r>
          </w:p>
          <w:p w14:paraId="7B46D1E3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66EED8DD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903E17" w:rsidRPr="00D71A1A" w14:paraId="0F999637" w14:textId="77777777" w:rsidTr="004E580C">
        <w:tc>
          <w:tcPr>
            <w:tcW w:w="4260" w:type="dxa"/>
            <w:shd w:val="clear" w:color="auto" w:fill="auto"/>
          </w:tcPr>
          <w:p w14:paraId="2065A154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</w:pPr>
          </w:p>
          <w:p w14:paraId="75EAD8F9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370" w:type="dxa"/>
            <w:shd w:val="clear" w:color="auto" w:fill="auto"/>
          </w:tcPr>
          <w:p w14:paraId="4D92B0E8" w14:textId="77777777" w:rsidR="00903E17" w:rsidRPr="00D71A1A" w:rsidRDefault="00903E17" w:rsidP="004E58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</w:pPr>
          </w:p>
        </w:tc>
      </w:tr>
      <w:tr w:rsidR="00903E17" w:rsidRPr="00D71A1A" w14:paraId="2C1AAADC" w14:textId="77777777" w:rsidTr="004E580C">
        <w:trPr>
          <w:gridAfter w:val="1"/>
          <w:wAfter w:w="4370" w:type="dxa"/>
        </w:trPr>
        <w:tc>
          <w:tcPr>
            <w:tcW w:w="4260" w:type="dxa"/>
            <w:shd w:val="clear" w:color="auto" w:fill="auto"/>
          </w:tcPr>
          <w:p w14:paraId="12247EF8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</w:pPr>
          </w:p>
          <w:p w14:paraId="1D27B268" w14:textId="77777777" w:rsidR="00903E17" w:rsidRPr="00D71A1A" w:rsidRDefault="00903E17" w:rsidP="004E580C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</w:pPr>
            <w:r w:rsidRPr="00D71A1A"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 xml:space="preserve">KLASA:  </w:t>
            </w:r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406-09/2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 w:rsidRPr="00D71A1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-01/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89</w:t>
            </w:r>
          </w:p>
          <w:p w14:paraId="16F4101B" w14:textId="77777777" w:rsidR="00903E17" w:rsidRPr="00D71A1A" w:rsidRDefault="00903E17" w:rsidP="004E58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</w:pPr>
            <w:r w:rsidRPr="00D71A1A"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>URBROJ: 2158-1-16-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>4</w:t>
            </w:r>
            <w:r w:rsidRPr="00D71A1A"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>04-</w:t>
            </w:r>
            <w:r w:rsidRPr="00D71A1A"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>4</w:t>
            </w:r>
            <w:r w:rsidRPr="00D71A1A"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>3</w:t>
            </w:r>
            <w:r w:rsidRPr="00D71A1A">
              <w:rPr>
                <w:rFonts w:ascii="Times New Roman" w:eastAsia="Times New Roman" w:hAnsi="Times New Roman"/>
                <w:sz w:val="24"/>
                <w:szCs w:val="24"/>
                <w:lang w:val="es-ES" w:eastAsia="hr-HR"/>
              </w:rPr>
              <w:t xml:space="preserve">                                                                                       </w:t>
            </w:r>
          </w:p>
        </w:tc>
      </w:tr>
    </w:tbl>
    <w:p w14:paraId="1619859A" w14:textId="77777777" w:rsidR="00903E17" w:rsidRPr="004C7822" w:rsidRDefault="00903E17" w:rsidP="00903E17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C2729F4" w14:textId="77777777" w:rsidR="00903E17" w:rsidRPr="004C7822" w:rsidRDefault="00903E17" w:rsidP="00903E17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5815AA5" w14:textId="77777777" w:rsidR="00903E17" w:rsidRPr="004C7822" w:rsidRDefault="00903E17" w:rsidP="00903E17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E7F4016" w14:textId="77777777" w:rsidR="00903E17" w:rsidRPr="004C7822" w:rsidRDefault="00903E17" w:rsidP="00903E17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2CA6528" w14:textId="77777777" w:rsidR="00903E17" w:rsidRDefault="00903E17" w:rsidP="00903E17"/>
    <w:p w14:paraId="19978F38" w14:textId="77777777" w:rsidR="00903E17" w:rsidRDefault="00903E17" w:rsidP="00903E17"/>
    <w:p w14:paraId="665E0918" w14:textId="77777777" w:rsidR="00903E17" w:rsidRDefault="00903E17" w:rsidP="00903E17"/>
    <w:p w14:paraId="1D3587A2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17"/>
    <w:rsid w:val="003F3F75"/>
    <w:rsid w:val="00436B2D"/>
    <w:rsid w:val="00903E17"/>
    <w:rsid w:val="00A22712"/>
    <w:rsid w:val="00EC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AF0AC"/>
  <w15:chartTrackingRefBased/>
  <w15:docId w15:val="{8D503385-2AE4-4F82-B026-EB45AAB1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17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3E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3E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3E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3E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3E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3E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3E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3E1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3E1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3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3E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3E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3E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3E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3E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3E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3E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3E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3E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3E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3E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3E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3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0135841C-CCBB-4171-9C37-2CF44317A807}"/>
</file>

<file path=customXml/itemProps2.xml><?xml version="1.0" encoding="utf-8"?>
<ds:datastoreItem xmlns:ds="http://schemas.openxmlformats.org/officeDocument/2006/customXml" ds:itemID="{5D8E6941-7282-4B31-8CD9-EA1B4A7712E7}"/>
</file>

<file path=customXml/itemProps3.xml><?xml version="1.0" encoding="utf-8"?>
<ds:datastoreItem xmlns:ds="http://schemas.openxmlformats.org/officeDocument/2006/customXml" ds:itemID="{56F2C105-6AC7-4373-9CF1-2ADD35202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</cp:revision>
  <dcterms:created xsi:type="dcterms:W3CDTF">2024-10-02T11:16:00Z</dcterms:created>
  <dcterms:modified xsi:type="dcterms:W3CDTF">2024-10-02T11:16:00Z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