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8704" w14:textId="77777777" w:rsidR="002943CE" w:rsidRPr="002943CE" w:rsidRDefault="0055022C" w:rsidP="0055022C">
      <w:pPr>
        <w:shd w:val="clear" w:color="auto" w:fill="FFFFFF"/>
        <w:jc w:val="both"/>
        <w:rPr>
          <w:rFonts w:ascii="Times New Roman" w:hAnsi="Times New Roman"/>
          <w:b/>
          <w:noProof/>
          <w:color w:val="auto"/>
          <w:sz w:val="24"/>
          <w:u w:val="single"/>
        </w:rPr>
      </w:pPr>
      <w:r w:rsidRPr="002943CE">
        <w:rPr>
          <w:rFonts w:ascii="Times New Roman" w:hAnsi="Times New Roman"/>
          <w:b/>
          <w:noProof/>
          <w:color w:val="auto"/>
          <w:sz w:val="24"/>
          <w:u w:val="single"/>
        </w:rPr>
        <w:t xml:space="preserve">PROJEKTNI ZADATAK </w:t>
      </w:r>
    </w:p>
    <w:p w14:paraId="7D64E687" w14:textId="00123748" w:rsidR="0055022C" w:rsidRPr="002943CE" w:rsidRDefault="0055022C" w:rsidP="0055022C">
      <w:pPr>
        <w:shd w:val="clear" w:color="auto" w:fill="FFFFFF"/>
        <w:jc w:val="both"/>
        <w:rPr>
          <w:rFonts w:ascii="Times New Roman" w:hAnsi="Times New Roman"/>
          <w:b/>
          <w:iCs/>
          <w:color w:val="auto"/>
          <w:sz w:val="24"/>
          <w:szCs w:val="24"/>
          <w:u w:val="single"/>
        </w:rPr>
      </w:pPr>
      <w:r w:rsidRPr="002943CE">
        <w:rPr>
          <w:rFonts w:ascii="Times New Roman" w:hAnsi="Times New Roman"/>
          <w:b/>
          <w:color w:val="auto"/>
          <w:sz w:val="24"/>
          <w:u w:val="single"/>
        </w:rPr>
        <w:t xml:space="preserve">IDEJNI PROJEKT </w:t>
      </w:r>
      <w:r w:rsidRPr="002943CE">
        <w:rPr>
          <w:rFonts w:ascii="Times New Roman" w:hAnsi="Times New Roman"/>
          <w:b/>
          <w:iCs/>
          <w:color w:val="auto"/>
          <w:sz w:val="24"/>
          <w:szCs w:val="24"/>
          <w:u w:val="single"/>
        </w:rPr>
        <w:t>KORIDORA PROMETNICE PRODUŽETKA DELNIČKE ULICE (</w:t>
      </w:r>
      <w:r w:rsidR="00547010" w:rsidRPr="002943CE">
        <w:rPr>
          <w:rFonts w:ascii="Times New Roman" w:hAnsi="Times New Roman"/>
          <w:b/>
          <w:iCs/>
          <w:color w:val="auto"/>
          <w:sz w:val="24"/>
          <w:szCs w:val="24"/>
          <w:u w:val="single"/>
        </w:rPr>
        <w:t>OD ULICE WOODROWA WILSONA DO DVORANE GRADSKI VRT U OSIJEKU)</w:t>
      </w:r>
    </w:p>
    <w:p w14:paraId="6534910A" w14:textId="77777777" w:rsidR="002943CE" w:rsidRDefault="002943CE" w:rsidP="0055022C">
      <w:pPr>
        <w:pStyle w:val="Bezproreda"/>
        <w:jc w:val="both"/>
        <w:rPr>
          <w:rFonts w:ascii="Times New Roman" w:hAnsi="Times New Roman"/>
          <w:b/>
          <w:noProof/>
          <w:color w:val="auto"/>
          <w:sz w:val="24"/>
          <w:szCs w:val="24"/>
        </w:rPr>
      </w:pPr>
    </w:p>
    <w:p w14:paraId="22ECBC49" w14:textId="7A7492E7" w:rsidR="0055022C" w:rsidRPr="002943CE" w:rsidRDefault="0055022C" w:rsidP="0055022C">
      <w:pPr>
        <w:pStyle w:val="Bezproreda"/>
        <w:jc w:val="both"/>
        <w:rPr>
          <w:rFonts w:ascii="Times New Roman" w:hAnsi="Times New Roman"/>
          <w:b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b/>
          <w:noProof/>
          <w:color w:val="auto"/>
          <w:sz w:val="24"/>
          <w:szCs w:val="24"/>
        </w:rPr>
        <w:t xml:space="preserve">LOKACIJA: </w:t>
      </w:r>
    </w:p>
    <w:p w14:paraId="6EFFFE14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14:paraId="6DC342FE" w14:textId="09FABBE5" w:rsidR="0055022C" w:rsidRPr="002943CE" w:rsidRDefault="00547010" w:rsidP="0055022C">
      <w:pPr>
        <w:pStyle w:val="Bezproreda"/>
        <w:jc w:val="both"/>
        <w:rPr>
          <w:rFonts w:ascii="Times New Roman" w:hAnsi="Times New Roman"/>
          <w:color w:val="auto"/>
          <w:sz w:val="24"/>
        </w:rPr>
      </w:pPr>
      <w:r w:rsidRPr="002943CE">
        <w:rPr>
          <w:rFonts w:ascii="Times New Roman" w:hAnsi="Times New Roman"/>
          <w:iCs/>
          <w:color w:val="auto"/>
          <w:sz w:val="24"/>
          <w:szCs w:val="24"/>
        </w:rPr>
        <w:t>DELNIČKA ULICA produžetak prometnice od Ulice Woodrowa Wilsona s istočne strane do dvorane Gradski vrt u Osijeku sa zapadne strane</w:t>
      </w:r>
      <w:r w:rsidR="0055022C" w:rsidRPr="002943CE">
        <w:rPr>
          <w:rFonts w:ascii="Times New Roman" w:hAnsi="Times New Roman"/>
          <w:iCs/>
          <w:color w:val="auto"/>
          <w:sz w:val="24"/>
          <w:szCs w:val="24"/>
        </w:rPr>
        <w:t>.</w:t>
      </w:r>
    </w:p>
    <w:p w14:paraId="76EE02AE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14:paraId="23E9C985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b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b/>
          <w:noProof/>
          <w:color w:val="auto"/>
          <w:sz w:val="24"/>
          <w:szCs w:val="24"/>
        </w:rPr>
        <w:t>POSTOJEĆE STANJE:</w:t>
      </w:r>
    </w:p>
    <w:p w14:paraId="5AE4B3FA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14:paraId="12D974A9" w14:textId="55A28723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Prometni koridor, koji je predmet ovog projektnog zadatka sastoji se od katastarskih čestica </w:t>
      </w:r>
      <w:r w:rsidR="00547010"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djelomično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u vlasništvu Grada Osijeka </w:t>
      </w:r>
      <w:r w:rsidR="00547010"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(k.čbr. </w:t>
      </w:r>
      <w:r w:rsidR="00547010"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 xml:space="preserve">9858/4, 9858/21, 9861/1, te uklapanje u dijelove k.č.br. 9853/7 i 9873/119, 9873/1, 6242/1, 9891)  sve k.o. Osijek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i u naravi </w:t>
      </w:r>
      <w:r w:rsidR="00547010"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su </w:t>
      </w:r>
      <w:r w:rsidR="002943CE">
        <w:rPr>
          <w:rFonts w:ascii="Times New Roman" w:hAnsi="Times New Roman"/>
          <w:noProof/>
          <w:color w:val="auto"/>
          <w:sz w:val="24"/>
          <w:szCs w:val="24"/>
        </w:rPr>
        <w:t xml:space="preserve">navedene k.č.br. </w:t>
      </w:r>
      <w:r w:rsidR="00547010" w:rsidRPr="002943CE">
        <w:rPr>
          <w:rFonts w:ascii="Times New Roman" w:hAnsi="Times New Roman"/>
          <w:noProof/>
          <w:color w:val="auto"/>
          <w:sz w:val="24"/>
          <w:szCs w:val="24"/>
        </w:rPr>
        <w:t>dijelovi postojećih prometnica, poljoprivrednog zemljišta te privatne obiteljske kuće koja se nalazi u koridorui prometa.</w:t>
      </w:r>
    </w:p>
    <w:p w14:paraId="3B5D2E05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14:paraId="00BB3942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b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b/>
          <w:noProof/>
          <w:color w:val="auto"/>
          <w:sz w:val="24"/>
          <w:szCs w:val="24"/>
        </w:rPr>
        <w:t>ZADAĆA PROJEKTA:</w:t>
      </w:r>
    </w:p>
    <w:p w14:paraId="29903860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14:paraId="1CCF727A" w14:textId="19E3FC82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Osnovni cilj projekta je sukladno </w:t>
      </w:r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 xml:space="preserve">Zakonu o gradnji (NN </w:t>
      </w:r>
      <w:hyperlink r:id="rId8" w:tgtFrame="_blank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153/13</w:t>
        </w:r>
      </w:hyperlink>
      <w:r w:rsidRPr="002943CE">
        <w:rPr>
          <w:rFonts w:ascii="Times New Roman" w:hAnsi="Times New Roman"/>
          <w:color w:val="auto"/>
          <w:sz w:val="24"/>
          <w:szCs w:val="24"/>
        </w:rPr>
        <w:t>, </w:t>
      </w:r>
      <w:hyperlink r:id="rId9" w:tgtFrame="_blank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20/17</w:t>
        </w:r>
      </w:hyperlink>
      <w:r w:rsidRPr="002943CE">
        <w:rPr>
          <w:rFonts w:ascii="Times New Roman" w:hAnsi="Times New Roman"/>
          <w:color w:val="auto"/>
          <w:sz w:val="24"/>
          <w:szCs w:val="24"/>
        </w:rPr>
        <w:t>, </w:t>
      </w:r>
      <w:hyperlink r:id="rId10" w:tgtFrame="_blank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39/19</w:t>
        </w:r>
      </w:hyperlink>
      <w:r w:rsidRPr="002943CE">
        <w:rPr>
          <w:rFonts w:ascii="Times New Roman" w:hAnsi="Times New Roman"/>
          <w:color w:val="auto"/>
          <w:sz w:val="24"/>
          <w:szCs w:val="24"/>
        </w:rPr>
        <w:t>, </w:t>
      </w:r>
      <w:hyperlink r:id="rId11" w:tgtFrame="_blank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125/19</w:t>
        </w:r>
      </w:hyperlink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>) i Zakonu o prostornom uređenju (NN 1</w:t>
      </w:r>
      <w:hyperlink r:id="rId12" w:tgtFrame="_blank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53/13</w:t>
        </w:r>
      </w:hyperlink>
      <w:r w:rsidRPr="002943CE">
        <w:rPr>
          <w:rFonts w:ascii="Times New Roman" w:hAnsi="Times New Roman"/>
          <w:color w:val="auto"/>
          <w:sz w:val="24"/>
          <w:szCs w:val="24"/>
        </w:rPr>
        <w:t>, </w:t>
      </w:r>
      <w:hyperlink r:id="rId13" w:tgtFrame="_blank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65/17</w:t>
        </w:r>
      </w:hyperlink>
      <w:r w:rsidRPr="002943CE">
        <w:rPr>
          <w:rFonts w:ascii="Times New Roman" w:hAnsi="Times New Roman"/>
          <w:color w:val="auto"/>
          <w:sz w:val="24"/>
          <w:szCs w:val="24"/>
        </w:rPr>
        <w:t>, </w:t>
      </w:r>
      <w:hyperlink r:id="rId14" w:tgtFrame="_blank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114/18</w:t>
        </w:r>
      </w:hyperlink>
      <w:r w:rsidRPr="002943CE">
        <w:rPr>
          <w:rFonts w:ascii="Times New Roman" w:hAnsi="Times New Roman"/>
          <w:color w:val="auto"/>
          <w:sz w:val="24"/>
          <w:szCs w:val="24"/>
        </w:rPr>
        <w:t>, </w:t>
      </w:r>
      <w:hyperlink r:id="rId15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39/19</w:t>
        </w:r>
      </w:hyperlink>
      <w:r w:rsidRPr="002943CE">
        <w:rPr>
          <w:rFonts w:ascii="Times New Roman" w:hAnsi="Times New Roman"/>
          <w:color w:val="auto"/>
          <w:sz w:val="24"/>
          <w:szCs w:val="24"/>
        </w:rPr>
        <w:t>, </w:t>
      </w:r>
      <w:hyperlink r:id="rId16" w:history="1">
        <w:r w:rsidRPr="002943CE">
          <w:rPr>
            <w:rStyle w:val="Hiperveza"/>
            <w:rFonts w:ascii="Times New Roman" w:hAnsi="Times New Roman"/>
            <w:bCs/>
            <w:color w:val="auto"/>
            <w:sz w:val="24"/>
            <w:szCs w:val="24"/>
            <w:u w:val="none"/>
          </w:rPr>
          <w:t>98/19</w:t>
        </w:r>
      </w:hyperlink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 xml:space="preserve">)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izraditi</w:t>
      </w:r>
      <w:r w:rsidR="00547010" w:rsidRPr="002943CE">
        <w:rPr>
          <w:rFonts w:ascii="Times New Roman" w:hAnsi="Times New Roman"/>
          <w:noProof/>
          <w:color w:val="auto"/>
          <w:sz w:val="24"/>
          <w:szCs w:val="24"/>
        </w:rPr>
        <w:t>:</w:t>
      </w:r>
    </w:p>
    <w:p w14:paraId="3A6F57D3" w14:textId="737FCEDF" w:rsidR="00547010" w:rsidRPr="002943CE" w:rsidRDefault="0055022C" w:rsidP="0054701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2943CE">
        <w:rPr>
          <w:rFonts w:ascii="Times New Roman" w:hAnsi="Times New Roman"/>
          <w:iCs/>
          <w:color w:val="auto"/>
          <w:sz w:val="24"/>
          <w:szCs w:val="24"/>
          <w:u w:val="single"/>
        </w:rPr>
        <w:t>Idejni projekt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 prometnog koridora dužine cca </w:t>
      </w:r>
      <w:r w:rsidR="00547010" w:rsidRPr="002943CE">
        <w:rPr>
          <w:rFonts w:ascii="Times New Roman" w:hAnsi="Times New Roman"/>
          <w:iCs/>
          <w:color w:val="auto"/>
          <w:sz w:val="24"/>
          <w:szCs w:val="24"/>
        </w:rPr>
        <w:t>250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,00 m </w:t>
      </w:r>
    </w:p>
    <w:p w14:paraId="753C6CB0" w14:textId="2C870268" w:rsidR="0055022C" w:rsidRPr="002943CE" w:rsidRDefault="0055022C" w:rsidP="00547010">
      <w:pPr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Izgradnju prometnice potrebno je podijeliti u smislene cjeline </w:t>
      </w:r>
      <w:r w:rsidR="003A5D3E"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(pješačke, biciklističke, prometne površine, javnu rasvjetu, sadnju drveća…)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u dogovoru s Naručiteljem i iste definirati u </w:t>
      </w:r>
      <w:r w:rsidR="0097675F">
        <w:rPr>
          <w:rFonts w:ascii="Times New Roman" w:hAnsi="Times New Roman"/>
          <w:noProof/>
          <w:color w:val="auto"/>
          <w:sz w:val="24"/>
          <w:szCs w:val="24"/>
        </w:rPr>
        <w:t>Idejno</w:t>
      </w:r>
      <w:r w:rsidR="00AE5801">
        <w:rPr>
          <w:rFonts w:ascii="Times New Roman" w:hAnsi="Times New Roman"/>
          <w:noProof/>
          <w:color w:val="auto"/>
          <w:sz w:val="24"/>
          <w:szCs w:val="24"/>
        </w:rPr>
        <w:t>m</w:t>
      </w:r>
      <w:r w:rsidR="0097675F">
        <w:rPr>
          <w:rFonts w:ascii="Times New Roman" w:hAnsi="Times New Roman"/>
          <w:noProof/>
          <w:color w:val="auto"/>
          <w:sz w:val="24"/>
          <w:szCs w:val="24"/>
        </w:rPr>
        <w:t xml:space="preserve"> projektu </w:t>
      </w:r>
      <w:r w:rsidR="00AE5801">
        <w:rPr>
          <w:rFonts w:ascii="Times New Roman" w:hAnsi="Times New Roman"/>
          <w:noProof/>
          <w:color w:val="auto"/>
          <w:sz w:val="24"/>
          <w:szCs w:val="24"/>
        </w:rPr>
        <w:t xml:space="preserve">temeljem kojeg će se izdati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lokacijsk</w:t>
      </w:r>
      <w:r w:rsidR="00AE5801">
        <w:rPr>
          <w:rFonts w:ascii="Times New Roman" w:hAnsi="Times New Roman"/>
          <w:noProof/>
          <w:color w:val="auto"/>
          <w:sz w:val="24"/>
          <w:szCs w:val="24"/>
        </w:rPr>
        <w:t>a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 dozvol</w:t>
      </w:r>
      <w:r w:rsidR="00AE5801">
        <w:rPr>
          <w:rFonts w:ascii="Times New Roman" w:hAnsi="Times New Roman"/>
          <w:noProof/>
          <w:color w:val="auto"/>
          <w:sz w:val="24"/>
          <w:szCs w:val="24"/>
        </w:rPr>
        <w:t>a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 kao fazno građenje po dionicama i zahvatima. </w:t>
      </w:r>
    </w:p>
    <w:p w14:paraId="2A2288A9" w14:textId="77777777" w:rsidR="0055022C" w:rsidRPr="002943CE" w:rsidRDefault="0055022C" w:rsidP="0055022C">
      <w:pPr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2943CE">
        <w:rPr>
          <w:rFonts w:ascii="Times New Roman" w:hAnsi="Times New Roman"/>
          <w:iCs/>
          <w:color w:val="auto"/>
          <w:sz w:val="24"/>
          <w:szCs w:val="24"/>
        </w:rPr>
        <w:t>Pravomoćna lokacijska dozvola potrebna je za pokretanje postupka izvlaštenja zemljišta na trasi buduće prometnice, a koje nije u vlasništvu Grada Osijeka.</w:t>
      </w:r>
    </w:p>
    <w:p w14:paraId="09E18474" w14:textId="719B47C5" w:rsidR="0055022C" w:rsidRPr="002943CE" w:rsidRDefault="0055022C" w:rsidP="0055022C">
      <w:pPr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Projektnom dokumentacijom predvidjeti sve elemente sukladno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pravilima struke,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prostorno-planskom dokumentacijom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 - Generalnim urbanističkim planom Grada Osijeka (</w:t>
      </w:r>
      <w:r w:rsidRPr="002943CE">
        <w:rPr>
          <w:rFonts w:ascii="Times New Roman" w:hAnsi="Times New Roman"/>
          <w:color w:val="auto"/>
          <w:spacing w:val="8"/>
          <w:sz w:val="24"/>
          <w:szCs w:val="24"/>
        </w:rPr>
        <w:t>Službeni glasnik Grada Osijeka broj 5/06, 12/06-ispr., 1/07-ispr., 12/10, 12/11, 12/12, 2/13-ispr., 4/13-ispr., 7/14, 11/15, 2/17, 6A/18-pročišćeni tekst i 13A/20)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 te </w:t>
      </w:r>
      <w:r w:rsidR="003A5D3E" w:rsidRPr="002943CE">
        <w:rPr>
          <w:rFonts w:ascii="Times New Roman" w:hAnsi="Times New Roman"/>
          <w:iCs/>
          <w:color w:val="auto"/>
          <w:sz w:val="24"/>
          <w:szCs w:val="24"/>
        </w:rPr>
        <w:t>UPU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 - </w:t>
      </w:r>
      <w:r w:rsidR="003A5D3E" w:rsidRPr="002943CE">
        <w:rPr>
          <w:rFonts w:ascii="Times New Roman" w:hAnsi="Times New Roman"/>
          <w:iCs/>
          <w:color w:val="auto"/>
          <w:sz w:val="24"/>
          <w:szCs w:val="24"/>
        </w:rPr>
        <w:t>Gradski vrt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 (Službeni glasnik Grada Osijeka br. </w:t>
      </w:r>
      <w:r w:rsidR="003A5D3E" w:rsidRPr="002943CE">
        <w:rPr>
          <w:rFonts w:ascii="Times New Roman" w:hAnsi="Times New Roman"/>
          <w:iCs/>
          <w:color w:val="auto"/>
          <w:sz w:val="24"/>
          <w:szCs w:val="24"/>
        </w:rPr>
        <w:t>16/2019</w:t>
      </w:r>
      <w:r w:rsidRPr="002943CE">
        <w:rPr>
          <w:rFonts w:ascii="Times New Roman" w:hAnsi="Times New Roman"/>
          <w:iCs/>
          <w:color w:val="auto"/>
          <w:sz w:val="24"/>
          <w:szCs w:val="24"/>
        </w:rPr>
        <w:t xml:space="preserve">),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hrvatskim normama i podzakonskim propisima koji reguliraju predmetno područje.</w:t>
      </w:r>
    </w:p>
    <w:p w14:paraId="2BA30D70" w14:textId="744655A4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Projektom je sukladno prostorno planskoj dokumentaciji potrebno predvidjeti spoj postojeće prometnice </w:t>
      </w:r>
      <w:r w:rsidR="006D5EEF" w:rsidRPr="002943CE">
        <w:rPr>
          <w:rFonts w:ascii="Times New Roman" w:hAnsi="Times New Roman"/>
          <w:iCs/>
          <w:color w:val="auto"/>
          <w:sz w:val="24"/>
          <w:szCs w:val="24"/>
        </w:rPr>
        <w:t>od Ulice Woodrowa Wilsona s istočne strane do dvorane Gradski vrt u Osijeku sa zapadne strane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; projektom predvidjeti smještaj instalacija (vodovod, kanalizacija, HEP struja, HEP plin, instalacije B-net, Oprima…), pješačke i biciklističke staze, uređenje oborinske odvodnje i izgradnju javne rasvjete te zaštitno zelenilo.</w:t>
      </w:r>
    </w:p>
    <w:p w14:paraId="29475D7A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Projektom osigurati dostatnu nosivost novoizgrađenog kolnika </w:t>
      </w:r>
      <w:r w:rsidRPr="002943CE">
        <w:rPr>
          <w:rFonts w:ascii="Times New Roman" w:hAnsi="Times New Roman"/>
          <w:color w:val="auto"/>
          <w:sz w:val="24"/>
          <w:szCs w:val="24"/>
        </w:rPr>
        <w:t>na temelju važećih propisa i podataka o prometnom opterećenju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.</w:t>
      </w:r>
    </w:p>
    <w:p w14:paraId="31D9D85B" w14:textId="77777777" w:rsidR="0055022C" w:rsidRPr="002943CE" w:rsidRDefault="0055022C" w:rsidP="0055022C">
      <w:pPr>
        <w:pStyle w:val="Bezproreda"/>
        <w:rPr>
          <w:color w:val="auto"/>
          <w:lang w:eastAsia="hr-HR"/>
        </w:rPr>
      </w:pPr>
    </w:p>
    <w:p w14:paraId="0D4DD608" w14:textId="46A9A0AF" w:rsidR="0055022C" w:rsidRPr="002943CE" w:rsidRDefault="0055022C" w:rsidP="0055022C">
      <w:pPr>
        <w:jc w:val="both"/>
        <w:rPr>
          <w:rFonts w:ascii="Times New Roman" w:hAnsi="Times New Roman"/>
          <w:b/>
          <w:bCs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 xml:space="preserve">CIJENA PONUDE </w:t>
      </w: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ab/>
      </w:r>
    </w:p>
    <w:p w14:paraId="7E18A281" w14:textId="77777777" w:rsidR="0055022C" w:rsidRPr="002943CE" w:rsidRDefault="0055022C" w:rsidP="0055022C">
      <w:pPr>
        <w:jc w:val="both"/>
        <w:rPr>
          <w:rFonts w:ascii="Times New Roman" w:hAnsi="Times New Roman"/>
          <w:noProof/>
          <w:color w:val="auto"/>
          <w:sz w:val="24"/>
        </w:rPr>
      </w:pPr>
      <w:r w:rsidRPr="002943CE">
        <w:rPr>
          <w:rFonts w:ascii="Times New Roman" w:hAnsi="Times New Roman"/>
          <w:noProof/>
          <w:color w:val="auto"/>
          <w:sz w:val="24"/>
        </w:rPr>
        <w:t>Ponudom i ponuđenom cijenom treba uključiti:</w:t>
      </w:r>
    </w:p>
    <w:p w14:paraId="121F3882" w14:textId="3653C497" w:rsidR="0055022C" w:rsidRPr="002943CE" w:rsidRDefault="0055022C" w:rsidP="0055022C">
      <w:pPr>
        <w:jc w:val="both"/>
        <w:rPr>
          <w:rFonts w:ascii="Times New Roman" w:hAnsi="Times New Roman"/>
          <w:b/>
          <w:bCs/>
          <w:color w:val="auto"/>
          <w:sz w:val="24"/>
          <w:lang w:eastAsia="hr-HR"/>
        </w:rPr>
      </w:pPr>
      <w:r w:rsidRPr="002943CE">
        <w:rPr>
          <w:rFonts w:ascii="Times New Roman" w:hAnsi="Times New Roman"/>
          <w:noProof/>
          <w:color w:val="auto"/>
          <w:sz w:val="24"/>
        </w:rPr>
        <w:lastRenderedPageBreak/>
        <w:t xml:space="preserve">- izradu Idejnog projekta za izgradnju prometnice u vlasništvu Grad Osijeka na k.č.br. </w:t>
      </w: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 xml:space="preserve">9858/4 , 9858/21, 9861/1, te uklapanje u dijelove k.č.br. 9853/7 i 9873/119, 9873/1, 6242/1, 9891  sve k.o. Osijek </w:t>
      </w:r>
      <w:r w:rsidRPr="002943CE">
        <w:rPr>
          <w:rFonts w:ascii="Times New Roman" w:hAnsi="Times New Roman"/>
          <w:noProof/>
          <w:color w:val="auto"/>
          <w:sz w:val="24"/>
        </w:rPr>
        <w:t>uključivo ishođenje lokacijske dozvole</w:t>
      </w:r>
    </w:p>
    <w:p w14:paraId="024EC954" w14:textId="7634D6B8" w:rsidR="0055022C" w:rsidRPr="002943CE" w:rsidRDefault="0055022C" w:rsidP="0055022C">
      <w:pPr>
        <w:jc w:val="both"/>
        <w:rPr>
          <w:rFonts w:ascii="Times New Roman" w:hAnsi="Times New Roman"/>
          <w:noProof/>
          <w:color w:val="auto"/>
          <w:sz w:val="24"/>
        </w:rPr>
      </w:pPr>
      <w:r w:rsidRPr="002943CE">
        <w:rPr>
          <w:rFonts w:ascii="Times New Roman" w:hAnsi="Times New Roman"/>
          <w:noProof/>
          <w:color w:val="auto"/>
          <w:sz w:val="24"/>
        </w:rPr>
        <w:t xml:space="preserve">Idejnim projekt treba predvidjeti fazno građenje u suradnji s </w:t>
      </w:r>
      <w:r w:rsidRPr="002943CE">
        <w:rPr>
          <w:rFonts w:ascii="Times New Roman" w:hAnsi="Times New Roman"/>
          <w:color w:val="auto"/>
          <w:sz w:val="24"/>
        </w:rPr>
        <w:t>Upravnim odjelom za prostorno uređenje graditeljstvo i zaštitu okoliša</w:t>
      </w:r>
      <w:r w:rsidRPr="002943CE">
        <w:rPr>
          <w:rFonts w:ascii="Times New Roman" w:hAnsi="Times New Roman"/>
          <w:noProof/>
          <w:color w:val="auto"/>
          <w:sz w:val="24"/>
        </w:rPr>
        <w:t xml:space="preserve"> Grada Osijeka i Upravnim odjelom za gospodarenje imovinom i vlasničko-pravne odnose.</w:t>
      </w:r>
    </w:p>
    <w:p w14:paraId="238E4747" w14:textId="77777777" w:rsidR="0055022C" w:rsidRPr="002943CE" w:rsidRDefault="0055022C" w:rsidP="0055022C">
      <w:pPr>
        <w:pStyle w:val="clanak"/>
        <w:spacing w:beforeLines="30" w:before="72" w:beforeAutospacing="0" w:afterLines="30" w:after="72" w:afterAutospacing="0"/>
        <w:jc w:val="both"/>
        <w:rPr>
          <w:lang w:val="hr-HR"/>
        </w:rPr>
      </w:pPr>
      <w:r w:rsidRPr="002943CE">
        <w:rPr>
          <w:rFonts w:eastAsia="Calibri"/>
          <w:noProof/>
          <w:lang w:val="hr-HR"/>
        </w:rPr>
        <w:t xml:space="preserve">Idejni projekt treba izraditi prema člancima 128.-131. Zakona o prostornom uređenju </w:t>
      </w:r>
      <w:r w:rsidRPr="002943CE">
        <w:rPr>
          <w:lang w:val="hr-HR"/>
        </w:rPr>
        <w:t>(„Narodne novine“ broj 153/13, 65/17, 114/18, 39/19 i 98/19)</w:t>
      </w:r>
      <w:r w:rsidRPr="002943CE">
        <w:rPr>
          <w:rFonts w:eastAsia="Calibri"/>
          <w:noProof/>
          <w:lang w:val="hr-HR"/>
        </w:rPr>
        <w:t xml:space="preserve"> te prema </w:t>
      </w:r>
      <w:r w:rsidRPr="002943CE">
        <w:rPr>
          <w:lang w:val="hr-HR"/>
        </w:rPr>
        <w:t>Pravilniku o obveznom sadržaju idejnog projekta („Narodne novine“ broj 118/19, 65/20).</w:t>
      </w:r>
    </w:p>
    <w:p w14:paraId="580F9491" w14:textId="57273755" w:rsidR="0055022C" w:rsidRPr="002943CE" w:rsidRDefault="0055022C" w:rsidP="0055022C">
      <w:pPr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 xml:space="preserve">Ponuditelj/Projektant je u obvezi prije podnošenja ponude o svom trošku detaljno sagledati ovaj Opis posla/Projektni zadatak i izvršiti uvid na samoj lokaciji te ponuđenom cijenom obuhvatiti sve opisane radove izrade i isporuke dokumentacije i ostale navedene usluge koje se tiču predmeta posla (geotehnički istražni radovi, geomehanika, revizija, podzemne vode, geodetski poslovi i sl.) neovisno jesu li isti posebno naglašeni u Opisu posla/Projektnom zadatku i priloženoj dokumentaciji ili nisu te Ponuditelj nema pravo ni na kakve naknadne troškove s tim u vezi i/ili provođenju upravnih postupaka. Eventualne troškove taksi (biljega i sl.) snosi Naručitelj. </w:t>
      </w:r>
    </w:p>
    <w:p w14:paraId="68C369F9" w14:textId="77777777" w:rsidR="0055022C" w:rsidRPr="002943CE" w:rsidRDefault="0055022C" w:rsidP="0055022C">
      <w:pPr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Ponuditelj/Projektant je odgovoran za kompletnost i usklađenost projekta i opreme, uključivo svih potrebnih instalacija i priključaka, racionalnost, izvodljivost, tehničku ispravnost predloženih rješenja te računsku točnost proračuna, predmjera, troškovnika, specificirane opreme, materijala i sve ostale ulazne i izlazne parametre bez dodatnih troškova vezano za projektiranu i/ili postojeću prometnu i drugu infrastrukturu, eventualne služnosti ili prolaske vodova, izmještanja postojećih instalacija, geoistražne radove i slično.</w:t>
      </w:r>
    </w:p>
    <w:p w14:paraId="2BC5537E" w14:textId="77777777" w:rsidR="0055022C" w:rsidRPr="002943CE" w:rsidRDefault="0055022C" w:rsidP="0055022C">
      <w:pPr>
        <w:spacing w:line="256" w:lineRule="auto"/>
        <w:rPr>
          <w:rFonts w:ascii="Times New Roman" w:hAnsi="Times New Roman"/>
          <w:b/>
          <w:noProof/>
          <w:color w:val="auto"/>
          <w:sz w:val="24"/>
        </w:rPr>
      </w:pPr>
      <w:r w:rsidRPr="002943CE">
        <w:rPr>
          <w:rFonts w:ascii="Times New Roman" w:hAnsi="Times New Roman"/>
          <w:b/>
          <w:noProof/>
          <w:color w:val="auto"/>
          <w:sz w:val="24"/>
        </w:rPr>
        <w:t>PROSTORNO-PLANSKA DOKUMENTACIJA</w:t>
      </w:r>
    </w:p>
    <w:p w14:paraId="4C20E10A" w14:textId="194A37FC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Predmetna projektna dokumentacija mora biti u skladu s prostorno-planskom dokumentacijom koja je na snazi za predmetnu lokaciju: </w:t>
      </w:r>
      <w:r w:rsidR="006D5EEF" w:rsidRPr="002943CE">
        <w:rPr>
          <w:rFonts w:ascii="Times New Roman" w:hAnsi="Times New Roman"/>
          <w:iCs/>
          <w:color w:val="auto"/>
          <w:sz w:val="24"/>
          <w:szCs w:val="24"/>
        </w:rPr>
        <w:t xml:space="preserve">UPU - Gradski vrt (Službeni glasnik Grada Osijeka br. 16/2019),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 </w:t>
      </w:r>
      <w:r w:rsidRPr="002943CE">
        <w:rPr>
          <w:rFonts w:ascii="Times New Roman" w:hAnsi="Times New Roman"/>
          <w:color w:val="auto"/>
          <w:sz w:val="24"/>
          <w:szCs w:val="24"/>
        </w:rPr>
        <w:t xml:space="preserve">GUP Grada Osijeka 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("Službeni glasnik" Grada Osijeka broj 5/06, 12/06-ispr., 1/07-ispr., 12/10, 12/11, 12/12, 2/13-ispr., 4/13-ispr., 7/14, 11/15, 2/17, 6A/18-pročišćeni tekst i 13A/20, </w:t>
      </w:r>
      <w:r w:rsidRPr="002943CE">
        <w:rPr>
          <w:rFonts w:ascii="Times New Roman" w:hAnsi="Times New Roman"/>
          <w:bCs/>
          <w:noProof/>
          <w:color w:val="auto"/>
          <w:sz w:val="24"/>
          <w:szCs w:val="24"/>
        </w:rPr>
        <w:t>Prostorni plan uređenja Grada Osijeka</w:t>
      </w:r>
      <w:r w:rsidRPr="002943CE">
        <w:rPr>
          <w:rFonts w:ascii="Times New Roman" w:hAnsi="Times New Roman"/>
          <w:b/>
          <w:bCs/>
          <w:noProof/>
          <w:color w:val="auto"/>
          <w:sz w:val="24"/>
          <w:szCs w:val="24"/>
        </w:rPr>
        <w:t> </w:t>
      </w:r>
      <w:r w:rsidRPr="002943CE">
        <w:rPr>
          <w:rFonts w:ascii="Times New Roman" w:hAnsi="Times New Roman"/>
          <w:noProof/>
          <w:color w:val="auto"/>
          <w:sz w:val="24"/>
          <w:szCs w:val="24"/>
        </w:rPr>
        <w:t>("Službeni glasnik" Grada Osijeka broj 8/05, 5/09, 17A/09, 12/10, 12/12, 20A/18 i 8A/19-pročišćeni tekst).</w:t>
      </w:r>
    </w:p>
    <w:p w14:paraId="2466156D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14:paraId="7B50B370" w14:textId="77777777" w:rsidR="0055022C" w:rsidRPr="002943CE" w:rsidRDefault="0055022C" w:rsidP="0055022C">
      <w:pPr>
        <w:spacing w:line="256" w:lineRule="auto"/>
        <w:rPr>
          <w:rFonts w:ascii="Times New Roman" w:hAnsi="Times New Roman"/>
          <w:b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color w:val="auto"/>
          <w:sz w:val="24"/>
          <w:lang w:eastAsia="hr-HR"/>
        </w:rPr>
        <w:t>SADRŽAJ PROJEKTA</w:t>
      </w:r>
    </w:p>
    <w:p w14:paraId="6200BC68" w14:textId="77777777" w:rsidR="0055022C" w:rsidRPr="002943CE" w:rsidRDefault="0055022C" w:rsidP="0055022C">
      <w:pPr>
        <w:pStyle w:val="t-9-8"/>
        <w:spacing w:beforeLines="30" w:before="72" w:beforeAutospacing="0" w:afterLines="30" w:after="72" w:afterAutospacing="0"/>
        <w:jc w:val="both"/>
        <w:rPr>
          <w:lang w:val="hr-HR"/>
        </w:rPr>
      </w:pPr>
      <w:r w:rsidRPr="002943CE">
        <w:rPr>
          <w:u w:val="single"/>
          <w:lang w:val="hr-HR"/>
        </w:rPr>
        <w:t>Idejni projekt</w:t>
      </w:r>
      <w:r w:rsidRPr="002943CE">
        <w:rPr>
          <w:lang w:val="hr-HR"/>
        </w:rPr>
        <w:t xml:space="preserve"> je skup međusobno usklađenih nacrta i dokumenata struka koje, ovisno o vrsti zahvata u prostoru, sudjeluju u projektiranju, kojima se:</w:t>
      </w:r>
    </w:p>
    <w:p w14:paraId="5148D133" w14:textId="77777777" w:rsidR="0055022C" w:rsidRPr="002943CE" w:rsidRDefault="0055022C" w:rsidP="0055022C">
      <w:pPr>
        <w:pStyle w:val="t-9-8"/>
        <w:spacing w:beforeLines="30" w:before="72" w:beforeAutospacing="0" w:afterLines="30" w:after="72" w:afterAutospacing="0"/>
        <w:jc w:val="both"/>
        <w:rPr>
          <w:lang w:val="hr-HR"/>
        </w:rPr>
      </w:pPr>
      <w:r w:rsidRPr="002943CE">
        <w:rPr>
          <w:lang w:val="hr-HR"/>
        </w:rPr>
        <w:t>1. daju osnovna oblikovno-funkcionalna i tehnička rješenja zahvata u prostoru (idejno-tehničko rješenje)</w:t>
      </w:r>
    </w:p>
    <w:p w14:paraId="718E6F2F" w14:textId="77777777" w:rsidR="0055022C" w:rsidRPr="002943CE" w:rsidRDefault="0055022C" w:rsidP="0055022C">
      <w:pPr>
        <w:pStyle w:val="t-9-8"/>
        <w:spacing w:beforeLines="30" w:before="72" w:beforeAutospacing="0" w:afterLines="30" w:after="72" w:afterAutospacing="0"/>
        <w:jc w:val="both"/>
        <w:rPr>
          <w:lang w:val="hr-HR"/>
        </w:rPr>
      </w:pPr>
      <w:r w:rsidRPr="002943CE">
        <w:rPr>
          <w:lang w:val="hr-HR"/>
        </w:rPr>
        <w:t>2. prikazuje smještaj jedne ili više građevina na građevnoj čestici i/ili unutar obuhvata zahvata u prostoru i</w:t>
      </w:r>
    </w:p>
    <w:p w14:paraId="004C603B" w14:textId="77777777" w:rsidR="0055022C" w:rsidRPr="002943CE" w:rsidRDefault="0055022C" w:rsidP="0055022C">
      <w:pPr>
        <w:pStyle w:val="t-9-8"/>
        <w:spacing w:beforeLines="30" w:before="72" w:beforeAutospacing="0" w:afterLines="30" w:after="72" w:afterAutospacing="0"/>
        <w:jc w:val="both"/>
        <w:rPr>
          <w:lang w:val="hr-HR"/>
        </w:rPr>
      </w:pPr>
      <w:r w:rsidRPr="002943CE">
        <w:rPr>
          <w:lang w:val="hr-HR"/>
        </w:rPr>
        <w:t>3. određuju osnovna polazišta značajna za osiguravanje postizanja temeljnih zahtjeva za građevinu i drugih zahtjeva za građevinu.</w:t>
      </w:r>
    </w:p>
    <w:p w14:paraId="0D14582E" w14:textId="77777777" w:rsidR="0055022C" w:rsidRPr="002943CE" w:rsidRDefault="0055022C" w:rsidP="0055022C">
      <w:pPr>
        <w:pStyle w:val="clanak"/>
        <w:spacing w:beforeLines="30" w:before="72" w:beforeAutospacing="0" w:afterLines="30" w:after="72" w:afterAutospacing="0"/>
        <w:jc w:val="both"/>
        <w:rPr>
          <w:lang w:val="hr-HR"/>
        </w:rPr>
      </w:pPr>
      <w:r w:rsidRPr="002943CE">
        <w:rPr>
          <w:rFonts w:eastAsia="Calibri"/>
          <w:noProof/>
        </w:rPr>
        <w:t xml:space="preserve">Idejni projekt treba izraditi prema člancima 128.-131. Zakona o prostornom uređenju </w:t>
      </w:r>
      <w:r w:rsidRPr="002943CE">
        <w:rPr>
          <w:lang w:val="hr-HR"/>
        </w:rPr>
        <w:t>(„Narodne novine“ broj 153/13, 65/17, 114/18, 39/19 i 98/19)</w:t>
      </w:r>
      <w:r w:rsidRPr="002943CE">
        <w:rPr>
          <w:rFonts w:eastAsia="Calibri"/>
          <w:noProof/>
          <w:lang w:val="hr-HR"/>
        </w:rPr>
        <w:t xml:space="preserve"> te prema </w:t>
      </w:r>
      <w:r w:rsidRPr="002943CE">
        <w:rPr>
          <w:lang w:val="hr-HR"/>
        </w:rPr>
        <w:t>Pravilniku o obveznom sadržaju idejnog projekta („Narodne novine“ broj 118/19, 65/20).</w:t>
      </w:r>
    </w:p>
    <w:p w14:paraId="60879EA6" w14:textId="77777777" w:rsidR="0055022C" w:rsidRPr="002943CE" w:rsidRDefault="0055022C" w:rsidP="0055022C">
      <w:pPr>
        <w:pStyle w:val="box460262"/>
        <w:shd w:val="clear" w:color="auto" w:fill="FFFFFF"/>
        <w:spacing w:beforeLines="30" w:before="72" w:beforeAutospacing="0" w:afterLines="30" w:after="72" w:afterAutospacing="0"/>
        <w:jc w:val="both"/>
        <w:textAlignment w:val="baseline"/>
      </w:pPr>
      <w:r w:rsidRPr="002943CE">
        <w:lastRenderedPageBreak/>
        <w:t>Idejni projekt za lokacijsku dozvolu kojom se određuje formiranje građevne čestice, odnosno obuhvat zahvata u prostoru te smještaj jedne ili više građevina na građevnoj čestici, odnosno obuhvatu zahvata uz navedene nacrte i dokumente sadrži:</w:t>
      </w:r>
    </w:p>
    <w:p w14:paraId="4DDE2887" w14:textId="77777777" w:rsidR="0055022C" w:rsidRPr="002943CE" w:rsidRDefault="0055022C" w:rsidP="0055022C">
      <w:pPr>
        <w:pStyle w:val="box460262"/>
        <w:shd w:val="clear" w:color="auto" w:fill="FFFFFF"/>
        <w:spacing w:beforeLines="30" w:before="72" w:beforeAutospacing="0" w:afterLines="30" w:after="72" w:afterAutospacing="0"/>
        <w:jc w:val="both"/>
        <w:textAlignment w:val="baseline"/>
      </w:pPr>
      <w:r w:rsidRPr="002943CE">
        <w:t>1. geodetsku situaciju stvarnog stanja terena u položajnom i visinskom smislu koja je sastavni dio geodetskog elaborata</w:t>
      </w:r>
    </w:p>
    <w:p w14:paraId="5EC5929E" w14:textId="77777777" w:rsidR="0055022C" w:rsidRPr="002943CE" w:rsidRDefault="0055022C" w:rsidP="0055022C">
      <w:pPr>
        <w:pStyle w:val="box460262"/>
        <w:shd w:val="clear" w:color="auto" w:fill="FFFFFF"/>
        <w:spacing w:beforeLines="30" w:before="72" w:beforeAutospacing="0" w:afterLines="30" w:after="72" w:afterAutospacing="0"/>
        <w:jc w:val="both"/>
        <w:textAlignment w:val="baseline"/>
      </w:pPr>
      <w:r w:rsidRPr="002943CE">
        <w:t>2. potvrdu katastarskog ureda da je geodetski elaborat iz podstavka 1. ovoga stavka predan na pregled i potvrđivanje</w:t>
      </w:r>
    </w:p>
    <w:p w14:paraId="5C968D7D" w14:textId="77777777" w:rsidR="0055022C" w:rsidRPr="002943CE" w:rsidRDefault="0055022C" w:rsidP="0055022C">
      <w:pPr>
        <w:pStyle w:val="box460262"/>
        <w:shd w:val="clear" w:color="auto" w:fill="FFFFFF"/>
        <w:spacing w:beforeLines="30" w:before="72" w:beforeAutospacing="0" w:afterLines="30" w:after="72" w:afterAutospacing="0"/>
        <w:jc w:val="both"/>
        <w:textAlignment w:val="baseline"/>
      </w:pPr>
      <w:r w:rsidRPr="002943CE">
        <w:t>3. geodetsku situaciju građevne čestice, odnosno obuhvata zahvata u prostoru te smještaja jedne ili više građevina na toj čestici, odnosno tom obuhvatu u položajnom i visinskom smislu</w:t>
      </w:r>
    </w:p>
    <w:p w14:paraId="16BEE94D" w14:textId="77777777" w:rsidR="0055022C" w:rsidRPr="002943CE" w:rsidRDefault="0055022C" w:rsidP="0055022C">
      <w:pPr>
        <w:pStyle w:val="t-9-8"/>
        <w:spacing w:beforeLines="30" w:before="72" w:beforeAutospacing="0" w:afterLines="30" w:after="72" w:afterAutospacing="0"/>
        <w:jc w:val="both"/>
        <w:rPr>
          <w:lang w:val="hr-HR"/>
        </w:rPr>
      </w:pPr>
      <w:r w:rsidRPr="002943CE">
        <w:rPr>
          <w:lang w:val="hr-HR"/>
        </w:rPr>
        <w:t>4. popis koordinata lomnih točaka građevne čestice, odnosno obuhvata zahvata u prostoru te jedne ili više građevina na toj čestici, odnosno tom obuhvatu predan i izrađen u GML formatu.</w:t>
      </w:r>
    </w:p>
    <w:p w14:paraId="7E665C0C" w14:textId="77777777" w:rsidR="0055022C" w:rsidRPr="002943CE" w:rsidRDefault="0055022C" w:rsidP="0055022C">
      <w:pPr>
        <w:spacing w:after="160" w:line="256" w:lineRule="auto"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Sve pripremne radove kao i podatke potrebne za pripremu potpunog i kvalitetnog dokumenta, a koji ovim Projektnim zadatkom nisu naznačeni da će Izvršitelju biti dani na raspolaganje ili uvid, Izvršitelj je dužan pribaviti, odnosno pripremiti sam i troškove pribavljanja, odnosno pripremanja uključiti u ponudbenu cijenu.</w:t>
      </w:r>
    </w:p>
    <w:p w14:paraId="13A259BB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color w:val="auto"/>
          <w:sz w:val="24"/>
          <w:szCs w:val="24"/>
          <w:lang w:eastAsia="hr-HR"/>
        </w:rPr>
      </w:pPr>
    </w:p>
    <w:p w14:paraId="56592303" w14:textId="77777777" w:rsidR="0055022C" w:rsidRPr="002943CE" w:rsidRDefault="0055022C" w:rsidP="0055022C">
      <w:pPr>
        <w:spacing w:line="256" w:lineRule="auto"/>
        <w:jc w:val="both"/>
        <w:rPr>
          <w:rFonts w:ascii="Times New Roman" w:hAnsi="Times New Roman"/>
          <w:b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color w:val="auto"/>
          <w:sz w:val="24"/>
          <w:lang w:eastAsia="hr-HR"/>
        </w:rPr>
        <w:t>RASPOLOŽIVA DOKUMENTACIJA I PODLOGE</w:t>
      </w:r>
    </w:p>
    <w:p w14:paraId="245F2240" w14:textId="77777777" w:rsidR="0055022C" w:rsidRPr="002943CE" w:rsidRDefault="0055022C" w:rsidP="00550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Prostorno planska dokumentacija dostupna je na mrežnim stranicama Grada (www.osijek.hr)</w:t>
      </w:r>
    </w:p>
    <w:p w14:paraId="70B1B369" w14:textId="77777777" w:rsidR="0055022C" w:rsidRPr="002943CE" w:rsidRDefault="0055022C" w:rsidP="00550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Lokacijska informacija na zahtjev u nadležnom upravnom tijelu</w:t>
      </w:r>
    </w:p>
    <w:p w14:paraId="6C3CABE4" w14:textId="77777777" w:rsidR="0055022C" w:rsidRPr="002943CE" w:rsidRDefault="0055022C" w:rsidP="00550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Obavijest o uvjetima za izradu glavnog projekta na zahtjev u nadležnom upravnom tijelu</w:t>
      </w:r>
    </w:p>
    <w:p w14:paraId="6E9B47A1" w14:textId="126BA9E8" w:rsidR="0055022C" w:rsidRPr="002943CE" w:rsidRDefault="0055022C" w:rsidP="00550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 xml:space="preserve">Izvadak iz zemljišne knjige za </w:t>
      </w:r>
      <w:r w:rsidR="006D5EEF" w:rsidRPr="002943CE">
        <w:rPr>
          <w:rFonts w:ascii="Times New Roman" w:hAnsi="Times New Roman"/>
          <w:noProof/>
          <w:color w:val="auto"/>
          <w:sz w:val="24"/>
          <w:szCs w:val="24"/>
        </w:rPr>
        <w:t xml:space="preserve">k.čbr. </w:t>
      </w:r>
      <w:r w:rsidR="006D5EEF" w:rsidRPr="002943CE">
        <w:rPr>
          <w:rFonts w:ascii="Times New Roman" w:hAnsi="Times New Roman"/>
          <w:color w:val="auto"/>
          <w:sz w:val="24"/>
          <w:lang w:eastAsia="hr-HR"/>
        </w:rPr>
        <w:t>9858/4, 9858/21, 9861/1, te uklapanje u dijelove k.č.br. 9853/7 i 9873/119, 9873/1, 6242/1, 9891)  sve k.o. Osijek</w:t>
      </w:r>
    </w:p>
    <w:p w14:paraId="5617EACA" w14:textId="77777777" w:rsidR="0055022C" w:rsidRPr="002943CE" w:rsidRDefault="0055022C" w:rsidP="00550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 xml:space="preserve">Geodetsku podlogu osigurava Ponuditelj (Projektant) o svom  vlastitom trošku </w:t>
      </w:r>
    </w:p>
    <w:p w14:paraId="6E973899" w14:textId="77777777" w:rsidR="0055022C" w:rsidRPr="002943CE" w:rsidRDefault="0055022C" w:rsidP="00550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 xml:space="preserve">Grafički prilog-Projektni zadatak-prometnica </w:t>
      </w:r>
    </w:p>
    <w:p w14:paraId="0A5CC5AB" w14:textId="77777777" w:rsidR="0055022C" w:rsidRPr="002943CE" w:rsidRDefault="0055022C" w:rsidP="0055022C">
      <w:pPr>
        <w:spacing w:line="256" w:lineRule="auto"/>
        <w:jc w:val="both"/>
        <w:rPr>
          <w:rFonts w:ascii="Times New Roman" w:hAnsi="Times New Roman"/>
          <w:b/>
          <w:bCs/>
          <w:color w:val="auto"/>
          <w:sz w:val="24"/>
          <w:lang w:eastAsia="hr-HR"/>
        </w:rPr>
      </w:pPr>
    </w:p>
    <w:p w14:paraId="2417E8B8" w14:textId="77777777" w:rsidR="0055022C" w:rsidRPr="002943CE" w:rsidRDefault="0055022C" w:rsidP="0055022C">
      <w:pPr>
        <w:spacing w:line="256" w:lineRule="auto"/>
        <w:jc w:val="both"/>
        <w:rPr>
          <w:rFonts w:ascii="Times New Roman" w:hAnsi="Times New Roman"/>
          <w:b/>
          <w:bCs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>SURADNJA S NARUČITELJEM</w:t>
      </w:r>
    </w:p>
    <w:p w14:paraId="4447AC24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color w:val="auto"/>
          <w:sz w:val="24"/>
          <w:szCs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>Tijekom izrade projekta, Izvršitelj je obvezan aktivno surađivati s predstavnikom Naručitelja, izvještavati i upoznavati Naručitelja o napretku izrade projekta i projektom predviđenim rješenjima, a sve u cilju izbjegavanja mogućih nedostataka i drugačijih zahtjeva Naručitelja.</w:t>
      </w:r>
      <w:r w:rsidRPr="002943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>Izvršitelj je dužan prisustvovati svim radnim sastancima o svom trošku koji će se održavati tijekom izrade projekta, a na koje će ga pozvati Naručitelj. Naručitelj zadržava pravo primjedbi i sugestija na pojedina projektna rješenja, kompletnost i nivo razrade projekta, a Izvršitelj se obvezuje postupiti po svim opravdanim primjedbama Naručitelja bez prava na dodatnu naknadu. Za sva odstupanja od zadanih elemenata potrebna je pisana suglasnost odgovorne osobe Naručitelja.</w:t>
      </w:r>
    </w:p>
    <w:p w14:paraId="0CA3BDFE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bCs/>
          <w:color w:val="auto"/>
          <w:sz w:val="24"/>
          <w:szCs w:val="24"/>
          <w:lang w:eastAsia="hr-HR"/>
        </w:rPr>
      </w:pPr>
    </w:p>
    <w:p w14:paraId="00BC75BF" w14:textId="77777777" w:rsidR="0055022C" w:rsidRPr="002943CE" w:rsidRDefault="0055022C" w:rsidP="0055022C">
      <w:pPr>
        <w:spacing w:line="256" w:lineRule="auto"/>
        <w:jc w:val="both"/>
        <w:rPr>
          <w:rFonts w:ascii="Times New Roman" w:hAnsi="Times New Roman"/>
          <w:b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>CIJENA IZRADE PROJEKTNE DOKUMENTACIJE I DINAMIKA PLAĆANJA</w:t>
      </w:r>
    </w:p>
    <w:p w14:paraId="58FDC3E7" w14:textId="77777777" w:rsidR="0055022C" w:rsidRPr="002943CE" w:rsidRDefault="0055022C" w:rsidP="0055022C">
      <w:pPr>
        <w:spacing w:after="160" w:line="256" w:lineRule="auto"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Projektant je obavezan prije podnošenja ponude o svom trošku detaljno sagledati i svojom ponuđenom cijenom obuhvatiti sve potrebne radove bez obzira da li su isti posebno naglašeni u projektnom zadatku ili nisu. Ponuđena i ugovorena cijena za izradu projektne dokumentacije mora uključivati sve troškove s tim u svezi i projektant nema pravo ni na kakve naknadne troškove za izradu navedenih projekata i provođenje upravnih postupaka.</w:t>
      </w:r>
    </w:p>
    <w:p w14:paraId="1A515282" w14:textId="77777777" w:rsidR="0055022C" w:rsidRPr="002943CE" w:rsidRDefault="0055022C" w:rsidP="0055022C">
      <w:pPr>
        <w:spacing w:after="160" w:line="256" w:lineRule="auto"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Izvršitelj je dužan usvojiti sve novonastale izmjene u zakonskoj regulativi koje nastanu tijekom izvršavanja usluge izrade dokumentacije te ih implementirati i uskladiti izrađenu dokumentaciju.</w:t>
      </w:r>
    </w:p>
    <w:p w14:paraId="3CD6FF26" w14:textId="129516AD" w:rsidR="0055022C" w:rsidRPr="002943CE" w:rsidRDefault="0055022C" w:rsidP="0055022C">
      <w:pPr>
        <w:spacing w:after="160" w:line="256" w:lineRule="auto"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lastRenderedPageBreak/>
        <w:t>Plaćanje prema dinamici izvršenja posla, a koje uključuje i sve eventualne izmjene do ishođenja pravomoćne lokacijske dozvole.</w:t>
      </w:r>
    </w:p>
    <w:tbl>
      <w:tblPr>
        <w:tblpPr w:leftFromText="180" w:rightFromText="180" w:vertAnchor="text" w:horzAnchor="page" w:tblpX="1693" w:tblpY="147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6"/>
        <w:gridCol w:w="3175"/>
        <w:gridCol w:w="2723"/>
        <w:gridCol w:w="2308"/>
      </w:tblGrid>
      <w:tr w:rsidR="002943CE" w:rsidRPr="002943CE" w14:paraId="1FBC9D58" w14:textId="77777777" w:rsidTr="00635D4E">
        <w:trPr>
          <w:trHeight w:val="1398"/>
        </w:trPr>
        <w:tc>
          <w:tcPr>
            <w:tcW w:w="856" w:type="dxa"/>
            <w:shd w:val="clear" w:color="auto" w:fill="D9D9D9"/>
            <w:vAlign w:val="center"/>
          </w:tcPr>
          <w:p w14:paraId="1F0717F1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  <w:t>RB</w:t>
            </w:r>
          </w:p>
        </w:tc>
        <w:tc>
          <w:tcPr>
            <w:tcW w:w="3175" w:type="dxa"/>
            <w:shd w:val="clear" w:color="auto" w:fill="D9D9D9"/>
            <w:vAlign w:val="center"/>
            <w:hideMark/>
          </w:tcPr>
          <w:p w14:paraId="6E2E48CC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  <w:t>Aktivnost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00ABA88F" w14:textId="77777777" w:rsidR="0055022C" w:rsidRPr="002943CE" w:rsidRDefault="0055022C" w:rsidP="00635D4E">
            <w:pPr>
              <w:spacing w:line="256" w:lineRule="auto"/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  <w:t>Isplata po odobrenju dokumentacije od strane Naručitelja/podnesenom zahtjevu</w:t>
            </w:r>
          </w:p>
        </w:tc>
        <w:tc>
          <w:tcPr>
            <w:tcW w:w="2308" w:type="dxa"/>
            <w:shd w:val="clear" w:color="auto" w:fill="D9D9D9"/>
            <w:vAlign w:val="center"/>
            <w:hideMark/>
          </w:tcPr>
          <w:p w14:paraId="546E1F89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color w:val="auto"/>
                <w:sz w:val="24"/>
                <w:lang w:eastAsia="hr-HR"/>
              </w:rPr>
              <w:t xml:space="preserve">Isplata nakon  uspješnog okončanja  postupka/izdavanje pravomoćnog akta </w:t>
            </w:r>
          </w:p>
        </w:tc>
      </w:tr>
      <w:tr w:rsidR="002943CE" w:rsidRPr="002943CE" w14:paraId="4D4C4708" w14:textId="77777777" w:rsidTr="00635D4E">
        <w:trPr>
          <w:trHeight w:val="1161"/>
        </w:trPr>
        <w:tc>
          <w:tcPr>
            <w:tcW w:w="856" w:type="dxa"/>
            <w:vAlign w:val="center"/>
          </w:tcPr>
          <w:p w14:paraId="21ECFE5B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>1)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BE6A42E" w14:textId="77777777" w:rsidR="0055022C" w:rsidRPr="002943CE" w:rsidRDefault="0055022C" w:rsidP="00635D4E">
            <w:pPr>
              <w:spacing w:line="256" w:lineRule="auto"/>
              <w:rPr>
                <w:rFonts w:ascii="Times New Roman" w:hAnsi="Times New Roman"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>Izrada idejnog projekta i  ishođenje pravomoćne  lokacijske dozvole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5383F" w14:textId="1373D3DC" w:rsidR="0055022C" w:rsidRPr="002943CE" w:rsidRDefault="006D5EEF" w:rsidP="00635D4E">
            <w:pPr>
              <w:spacing w:after="160" w:line="256" w:lineRule="auto"/>
              <w:rPr>
                <w:rFonts w:ascii="Times New Roman" w:hAnsi="Times New Roman"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>9</w:t>
            </w:r>
            <w:r w:rsidR="002943CE"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>0</w:t>
            </w:r>
            <w:r w:rsidR="0055022C"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 xml:space="preserve"> %  ukupne cijene 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6BBCA49" w14:textId="3D773103" w:rsidR="0055022C" w:rsidRPr="002943CE" w:rsidRDefault="002943CE" w:rsidP="00635D4E">
            <w:pPr>
              <w:spacing w:after="160" w:line="256" w:lineRule="auto"/>
              <w:rPr>
                <w:rFonts w:ascii="Times New Roman" w:hAnsi="Times New Roman"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>10</w:t>
            </w:r>
            <w:r w:rsidR="0055022C"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>% ukupne cijene</w:t>
            </w:r>
          </w:p>
        </w:tc>
      </w:tr>
    </w:tbl>
    <w:p w14:paraId="552E44D3" w14:textId="77777777" w:rsidR="0055022C" w:rsidRPr="002943CE" w:rsidRDefault="0055022C" w:rsidP="0055022C">
      <w:pPr>
        <w:pStyle w:val="Bezproreda"/>
        <w:rPr>
          <w:color w:val="auto"/>
          <w:lang w:eastAsia="hr-HR"/>
        </w:rPr>
      </w:pPr>
    </w:p>
    <w:p w14:paraId="5B22BDFC" w14:textId="77777777" w:rsidR="0055022C" w:rsidRPr="002943CE" w:rsidRDefault="0055022C" w:rsidP="0055022C">
      <w:pPr>
        <w:spacing w:after="160" w:line="256" w:lineRule="auto"/>
        <w:rPr>
          <w:rFonts w:ascii="Times New Roman" w:hAnsi="Times New Roman"/>
          <w:b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color w:val="auto"/>
          <w:sz w:val="24"/>
          <w:lang w:eastAsia="hr-HR"/>
        </w:rPr>
        <w:t>TROŠKOVNIK ZA NABAVU:</w:t>
      </w:r>
    </w:p>
    <w:p w14:paraId="5EDF591E" w14:textId="77777777" w:rsidR="0055022C" w:rsidRPr="002943CE" w:rsidRDefault="0055022C" w:rsidP="0055022C">
      <w:pPr>
        <w:spacing w:after="160" w:line="256" w:lineRule="auto"/>
        <w:rPr>
          <w:rFonts w:ascii="Times New Roman" w:hAnsi="Times New Roman"/>
          <w:b/>
          <w:color w:val="auto"/>
          <w:sz w:val="24"/>
          <w:lang w:eastAsia="hr-HR"/>
        </w:rPr>
      </w:pPr>
    </w:p>
    <w:tbl>
      <w:tblPr>
        <w:tblW w:w="91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077"/>
        <w:gridCol w:w="1053"/>
        <w:gridCol w:w="701"/>
        <w:gridCol w:w="1280"/>
        <w:gridCol w:w="1422"/>
      </w:tblGrid>
      <w:tr w:rsidR="002943CE" w:rsidRPr="002943CE" w14:paraId="3F494A59" w14:textId="77777777" w:rsidTr="00635D4E">
        <w:trPr>
          <w:trHeight w:val="874"/>
        </w:trPr>
        <w:tc>
          <w:tcPr>
            <w:tcW w:w="569" w:type="dxa"/>
            <w:shd w:val="clear" w:color="auto" w:fill="D9D9D9"/>
            <w:vAlign w:val="center"/>
          </w:tcPr>
          <w:p w14:paraId="396AB54E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RB</w:t>
            </w:r>
          </w:p>
        </w:tc>
        <w:tc>
          <w:tcPr>
            <w:tcW w:w="4077" w:type="dxa"/>
            <w:shd w:val="clear" w:color="auto" w:fill="D9D9D9"/>
            <w:vAlign w:val="center"/>
          </w:tcPr>
          <w:p w14:paraId="4DBA5045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VRSTA USLUGE</w:t>
            </w:r>
          </w:p>
        </w:tc>
        <w:tc>
          <w:tcPr>
            <w:tcW w:w="1053" w:type="dxa"/>
            <w:shd w:val="clear" w:color="auto" w:fill="D9D9D9"/>
            <w:vAlign w:val="center"/>
          </w:tcPr>
          <w:p w14:paraId="7FA64639" w14:textId="77777777" w:rsidR="0055022C" w:rsidRPr="002943CE" w:rsidRDefault="0055022C" w:rsidP="00635D4E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jedinica</w:t>
            </w:r>
          </w:p>
          <w:p w14:paraId="28E0ECC6" w14:textId="77777777" w:rsidR="0055022C" w:rsidRPr="002943CE" w:rsidRDefault="0055022C" w:rsidP="00635D4E">
            <w:pPr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mjere</w:t>
            </w:r>
          </w:p>
        </w:tc>
        <w:tc>
          <w:tcPr>
            <w:tcW w:w="701" w:type="dxa"/>
            <w:shd w:val="clear" w:color="auto" w:fill="D9D9D9"/>
            <w:vAlign w:val="center"/>
          </w:tcPr>
          <w:p w14:paraId="57E82957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količina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086DE67" w14:textId="3D89A132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jedinična cijena bez pdv-a (</w:t>
            </w:r>
            <w:r w:rsidR="002943CE"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€</w:t>
            </w: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)</w:t>
            </w:r>
          </w:p>
        </w:tc>
        <w:tc>
          <w:tcPr>
            <w:tcW w:w="1422" w:type="dxa"/>
            <w:shd w:val="clear" w:color="auto" w:fill="D9D9D9"/>
            <w:vAlign w:val="center"/>
          </w:tcPr>
          <w:p w14:paraId="510EC931" w14:textId="02A9B653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ukupno (</w:t>
            </w:r>
            <w:r w:rsidR="002943CE"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€</w:t>
            </w:r>
            <w:r w:rsidRPr="002943CE">
              <w:rPr>
                <w:rFonts w:ascii="Times New Roman" w:hAnsi="Times New Roman"/>
                <w:b/>
                <w:bCs/>
                <w:color w:val="auto"/>
                <w:sz w:val="24"/>
                <w:lang w:eastAsia="hr-HR"/>
              </w:rPr>
              <w:t>)</w:t>
            </w:r>
          </w:p>
        </w:tc>
      </w:tr>
      <w:tr w:rsidR="002943CE" w:rsidRPr="002943CE" w14:paraId="4469073C" w14:textId="77777777" w:rsidTr="00635D4E">
        <w:trPr>
          <w:trHeight w:val="70"/>
        </w:trPr>
        <w:tc>
          <w:tcPr>
            <w:tcW w:w="569" w:type="dxa"/>
            <w:shd w:val="clear" w:color="auto" w:fill="auto"/>
            <w:vAlign w:val="center"/>
          </w:tcPr>
          <w:p w14:paraId="79B60CB3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  <w:t>1)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58121D19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</w:p>
          <w:p w14:paraId="0E71F788" w14:textId="0617740C" w:rsidR="0055022C" w:rsidRPr="002943CE" w:rsidRDefault="002943CE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color w:val="auto"/>
                <w:sz w:val="24"/>
                <w:lang w:eastAsia="hr-HR"/>
              </w:rPr>
              <w:t>Izrada idejnog projekta i  ishođenje pravomoćne  lokacijske dozvole</w:t>
            </w:r>
            <w:r w:rsidRPr="002943CE"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  <w:t xml:space="preserve"> 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531D893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</w:p>
          <w:p w14:paraId="244E53C6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  <w:t xml:space="preserve">kom 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BF09AA2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</w:p>
          <w:p w14:paraId="0869328A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  <w:r w:rsidRPr="002943CE"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  <w:t xml:space="preserve">1,00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6C48B02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7D15B260" w14:textId="77777777" w:rsidR="0055022C" w:rsidRPr="002943CE" w:rsidRDefault="0055022C" w:rsidP="00635D4E">
            <w:pPr>
              <w:spacing w:after="160" w:line="256" w:lineRule="auto"/>
              <w:rPr>
                <w:rFonts w:ascii="Times New Roman" w:hAnsi="Times New Roman"/>
                <w:bCs/>
                <w:color w:val="auto"/>
                <w:sz w:val="24"/>
                <w:lang w:eastAsia="hr-HR"/>
              </w:rPr>
            </w:pPr>
          </w:p>
        </w:tc>
      </w:tr>
    </w:tbl>
    <w:p w14:paraId="0C47541A" w14:textId="77777777" w:rsidR="0055022C" w:rsidRPr="002943CE" w:rsidRDefault="0055022C" w:rsidP="0055022C">
      <w:pPr>
        <w:pStyle w:val="Bezproreda"/>
        <w:rPr>
          <w:rFonts w:ascii="Times New Roman" w:hAnsi="Times New Roman"/>
          <w:color w:val="auto"/>
          <w:sz w:val="24"/>
          <w:szCs w:val="24"/>
          <w:lang w:eastAsia="hr-HR"/>
        </w:rPr>
      </w:pPr>
    </w:p>
    <w:p w14:paraId="277231FA" w14:textId="77777777" w:rsidR="0055022C" w:rsidRPr="002943CE" w:rsidRDefault="0055022C" w:rsidP="0055022C">
      <w:pPr>
        <w:spacing w:line="256" w:lineRule="auto"/>
        <w:rPr>
          <w:rFonts w:ascii="Times New Roman" w:hAnsi="Times New Roman"/>
          <w:b/>
          <w:bCs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 xml:space="preserve">ROK IZRADE PROJEKTNE DOKUMENTACIJE </w:t>
      </w:r>
    </w:p>
    <w:p w14:paraId="38F36505" w14:textId="3D270C31" w:rsidR="002943CE" w:rsidRPr="002943CE" w:rsidRDefault="0055022C" w:rsidP="0055022C">
      <w:pPr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30 dana za izradu idejnog projekta</w:t>
      </w:r>
      <w:r w:rsidR="00F71572">
        <w:rPr>
          <w:rFonts w:ascii="Times New Roman" w:hAnsi="Times New Roman"/>
          <w:color w:val="auto"/>
          <w:sz w:val="24"/>
          <w:lang w:eastAsia="hr-HR"/>
        </w:rPr>
        <w:t xml:space="preserve">  </w:t>
      </w:r>
      <w:r w:rsidR="00B00332">
        <w:rPr>
          <w:rFonts w:ascii="Times New Roman" w:hAnsi="Times New Roman"/>
          <w:color w:val="auto"/>
          <w:sz w:val="24"/>
          <w:lang w:eastAsia="hr-HR"/>
        </w:rPr>
        <w:t xml:space="preserve">+ </w:t>
      </w:r>
      <w:r w:rsidR="00B00332" w:rsidRPr="00B00332">
        <w:rPr>
          <w:rFonts w:ascii="Times New Roman" w:hAnsi="Times New Roman"/>
          <w:color w:val="auto"/>
          <w:sz w:val="24"/>
          <w:lang w:eastAsia="hr-HR"/>
        </w:rPr>
        <w:t>30 dana za ishođenje pravomoćne lokacijske dozvole.</w:t>
      </w:r>
    </w:p>
    <w:p w14:paraId="382D460F" w14:textId="77777777" w:rsidR="0055022C" w:rsidRPr="002943CE" w:rsidRDefault="0055022C" w:rsidP="0055022C">
      <w:pPr>
        <w:pStyle w:val="Bezproreda"/>
        <w:rPr>
          <w:color w:val="auto"/>
          <w:sz w:val="24"/>
          <w:szCs w:val="24"/>
          <w:lang w:eastAsia="hr-HR"/>
        </w:rPr>
      </w:pPr>
    </w:p>
    <w:p w14:paraId="3BE57C33" w14:textId="77777777" w:rsidR="0055022C" w:rsidRPr="002943CE" w:rsidRDefault="0055022C" w:rsidP="0055022C">
      <w:pPr>
        <w:jc w:val="both"/>
        <w:rPr>
          <w:rFonts w:ascii="Times New Roman" w:hAnsi="Times New Roman"/>
          <w:b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>DOSTAVA DOKUMENTACIJE</w:t>
      </w:r>
    </w:p>
    <w:p w14:paraId="6DDA86B1" w14:textId="386C3B7A" w:rsidR="0055022C" w:rsidRPr="002943CE" w:rsidRDefault="0055022C" w:rsidP="0055022C">
      <w:pPr>
        <w:pStyle w:val="Bezproreda"/>
        <w:jc w:val="both"/>
        <w:rPr>
          <w:rFonts w:ascii="Times New Roman" w:hAnsi="Times New Roman"/>
          <w:color w:val="auto"/>
          <w:sz w:val="24"/>
          <w:szCs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 xml:space="preserve">Idejni projekt dostaviti Naručitelju u tiskanom i elektroničkom obliku u </w:t>
      </w:r>
      <w:r w:rsidR="002943CE" w:rsidRPr="002943CE">
        <w:rPr>
          <w:rFonts w:ascii="Times New Roman" w:hAnsi="Times New Roman"/>
          <w:color w:val="auto"/>
          <w:sz w:val="24"/>
          <w:szCs w:val="24"/>
          <w:lang w:eastAsia="hr-HR"/>
        </w:rPr>
        <w:t>3</w:t>
      </w:r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 xml:space="preserve"> (</w:t>
      </w:r>
      <w:r w:rsidR="002943CE" w:rsidRPr="002943CE">
        <w:rPr>
          <w:rFonts w:ascii="Times New Roman" w:hAnsi="Times New Roman"/>
          <w:color w:val="auto"/>
          <w:sz w:val="24"/>
          <w:szCs w:val="24"/>
          <w:lang w:eastAsia="hr-HR"/>
        </w:rPr>
        <w:t>tri</w:t>
      </w:r>
      <w:r w:rsidRPr="002943CE">
        <w:rPr>
          <w:rFonts w:ascii="Times New Roman" w:hAnsi="Times New Roman"/>
          <w:color w:val="auto"/>
          <w:sz w:val="24"/>
          <w:szCs w:val="24"/>
          <w:lang w:eastAsia="hr-HR"/>
        </w:rPr>
        <w:t>) primjeraka u AutoCAD-u ili drugom programskom paketu kompatibilnom s dwg formatom.</w:t>
      </w:r>
    </w:p>
    <w:p w14:paraId="736E3028" w14:textId="77777777" w:rsidR="0055022C" w:rsidRPr="002943CE" w:rsidRDefault="0055022C" w:rsidP="0055022C">
      <w:pPr>
        <w:pStyle w:val="Bezproreda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14:paraId="653A521C" w14:textId="77777777" w:rsidR="0055022C" w:rsidRPr="002943CE" w:rsidRDefault="0055022C" w:rsidP="0055022C">
      <w:pPr>
        <w:jc w:val="both"/>
        <w:rPr>
          <w:rFonts w:ascii="Times New Roman" w:hAnsi="Times New Roman"/>
          <w:b/>
          <w:bCs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bCs/>
          <w:color w:val="auto"/>
          <w:sz w:val="24"/>
          <w:lang w:eastAsia="hr-HR"/>
        </w:rPr>
        <w:t>OSTALO</w:t>
      </w:r>
    </w:p>
    <w:p w14:paraId="096CE573" w14:textId="77777777" w:rsidR="0055022C" w:rsidRPr="002943CE" w:rsidRDefault="0055022C" w:rsidP="0055022C">
      <w:pPr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Ponuditelj je obvezan pravovremeno izvještavati ovlaštenu osobu Naručitelja o svim fazama pripreme i realizacije posla kako bi se eventualne primjedbe pravovremeno otklonile. Naručitelj pridržava pravo primjedbi i sugestija na pojedina rješenja, a Ponuditelj se obvezuje postupiti po svim opravdanim primjedbama Naručitelja bez prava na dodatnu naknadu. Za sva odstupanja od zadanih elemenata potrebna je pisana suglasnost odgovorne osobe Naručitelja.</w:t>
      </w:r>
    </w:p>
    <w:p w14:paraId="0E2F01B6" w14:textId="77777777" w:rsidR="0055022C" w:rsidRPr="002943CE" w:rsidRDefault="0055022C" w:rsidP="0055022C">
      <w:pPr>
        <w:jc w:val="both"/>
        <w:rPr>
          <w:rFonts w:ascii="Times New Roman" w:hAnsi="Times New Roman"/>
          <w:b/>
          <w:color w:val="auto"/>
          <w:sz w:val="24"/>
          <w:lang w:eastAsia="hr-HR"/>
        </w:rPr>
      </w:pPr>
      <w:r w:rsidRPr="002943CE">
        <w:rPr>
          <w:rFonts w:ascii="Times New Roman" w:hAnsi="Times New Roman"/>
          <w:b/>
          <w:color w:val="auto"/>
          <w:sz w:val="24"/>
          <w:lang w:eastAsia="hr-HR"/>
        </w:rPr>
        <w:t>PRILOZI</w:t>
      </w:r>
    </w:p>
    <w:p w14:paraId="3C614B6E" w14:textId="49676D8D" w:rsidR="0055022C" w:rsidRPr="002943CE" w:rsidRDefault="0055022C" w:rsidP="0055022C">
      <w:pPr>
        <w:jc w:val="both"/>
        <w:rPr>
          <w:rFonts w:ascii="Times New Roman" w:hAnsi="Times New Roman"/>
          <w:color w:val="auto"/>
          <w:sz w:val="24"/>
          <w:lang w:eastAsia="hr-HR"/>
        </w:rPr>
      </w:pPr>
      <w:r w:rsidRPr="002943CE">
        <w:rPr>
          <w:rFonts w:ascii="Times New Roman" w:hAnsi="Times New Roman"/>
          <w:color w:val="auto"/>
          <w:sz w:val="24"/>
          <w:lang w:eastAsia="hr-HR"/>
        </w:rPr>
        <w:t>Kao u tekstu</w:t>
      </w:r>
    </w:p>
    <w:p w14:paraId="00F55B1B" w14:textId="0E249C06" w:rsidR="009D4584" w:rsidRPr="000B656D" w:rsidRDefault="009D4584" w:rsidP="000B656D">
      <w:pPr>
        <w:pStyle w:val="Bezproreda"/>
        <w:rPr>
          <w:rFonts w:ascii="Times New Roman" w:hAnsi="Times New Roman"/>
          <w:sz w:val="24"/>
          <w:szCs w:val="24"/>
        </w:rPr>
      </w:pPr>
      <w:r w:rsidRPr="000B656D">
        <w:rPr>
          <w:rFonts w:ascii="Times New Roman" w:hAnsi="Times New Roman"/>
          <w:sz w:val="24"/>
          <w:szCs w:val="24"/>
          <w:lang w:val="de-DE"/>
        </w:rPr>
        <w:t>KLASA</w:t>
      </w:r>
      <w:r w:rsidRPr="000B656D">
        <w:rPr>
          <w:rFonts w:ascii="Times New Roman" w:hAnsi="Times New Roman"/>
          <w:sz w:val="24"/>
          <w:szCs w:val="24"/>
        </w:rPr>
        <w:t>:      360-09/23-01/</w:t>
      </w:r>
      <w:r w:rsidR="002A2ADC">
        <w:rPr>
          <w:rFonts w:ascii="Times New Roman" w:hAnsi="Times New Roman"/>
          <w:sz w:val="24"/>
          <w:szCs w:val="24"/>
        </w:rPr>
        <w:t>2</w:t>
      </w:r>
    </w:p>
    <w:p w14:paraId="5FB4D15B" w14:textId="0B4BEC8E" w:rsidR="009D4584" w:rsidRPr="000B656D" w:rsidRDefault="009D4584" w:rsidP="000B656D">
      <w:pPr>
        <w:pStyle w:val="Bezproreda"/>
        <w:rPr>
          <w:rFonts w:ascii="Times New Roman" w:hAnsi="Times New Roman"/>
          <w:sz w:val="24"/>
          <w:szCs w:val="24"/>
        </w:rPr>
      </w:pPr>
      <w:r w:rsidRPr="000B656D">
        <w:rPr>
          <w:rFonts w:ascii="Times New Roman" w:hAnsi="Times New Roman"/>
          <w:sz w:val="24"/>
          <w:szCs w:val="24"/>
          <w:lang w:val="de-DE"/>
        </w:rPr>
        <w:t>UR</w:t>
      </w:r>
      <w:r w:rsidRPr="000B656D">
        <w:rPr>
          <w:rFonts w:ascii="Times New Roman" w:hAnsi="Times New Roman"/>
          <w:sz w:val="24"/>
          <w:szCs w:val="24"/>
        </w:rPr>
        <w:t xml:space="preserve">. </w:t>
      </w:r>
      <w:r w:rsidRPr="000B656D">
        <w:rPr>
          <w:rFonts w:ascii="Times New Roman" w:hAnsi="Times New Roman"/>
          <w:sz w:val="24"/>
          <w:szCs w:val="24"/>
          <w:lang w:val="de-DE"/>
        </w:rPr>
        <w:t>BROJ</w:t>
      </w:r>
      <w:r w:rsidRPr="000B656D">
        <w:rPr>
          <w:rFonts w:ascii="Times New Roman" w:hAnsi="Times New Roman"/>
          <w:sz w:val="24"/>
          <w:szCs w:val="24"/>
        </w:rPr>
        <w:t>:  2158-1-17-03/05-23-</w:t>
      </w:r>
      <w:r w:rsidR="00DA1EE9">
        <w:rPr>
          <w:rFonts w:ascii="Times New Roman" w:hAnsi="Times New Roman"/>
          <w:sz w:val="24"/>
          <w:szCs w:val="24"/>
        </w:rPr>
        <w:t>5</w:t>
      </w:r>
    </w:p>
    <w:p w14:paraId="36D072E4" w14:textId="77777777" w:rsidR="009D4584" w:rsidRPr="000B656D" w:rsidRDefault="009D4584" w:rsidP="000B656D">
      <w:pPr>
        <w:pStyle w:val="Bezproreda"/>
        <w:rPr>
          <w:rFonts w:ascii="Times New Roman" w:hAnsi="Times New Roman"/>
          <w:sz w:val="24"/>
          <w:szCs w:val="24"/>
        </w:rPr>
      </w:pPr>
      <w:r w:rsidRPr="000B656D">
        <w:rPr>
          <w:rFonts w:ascii="Times New Roman" w:hAnsi="Times New Roman"/>
          <w:sz w:val="24"/>
          <w:szCs w:val="24"/>
        </w:rPr>
        <w:t xml:space="preserve">Osijek,     </w:t>
      </w:r>
      <w:r w:rsidRPr="000B656D">
        <w:rPr>
          <w:rFonts w:ascii="Times New Roman" w:hAnsi="Times New Roman"/>
          <w:sz w:val="24"/>
          <w:szCs w:val="24"/>
        </w:rPr>
        <w:tab/>
        <w:t>15. lipnja 2023.</w:t>
      </w:r>
    </w:p>
    <w:p w14:paraId="7F9C2081" w14:textId="2E90B826" w:rsidR="0055022C" w:rsidRDefault="0055022C" w:rsidP="009D4584">
      <w:pPr>
        <w:jc w:val="both"/>
        <w:rPr>
          <w:rFonts w:ascii="Times New Roman" w:hAnsi="Times New Roman"/>
          <w:color w:val="auto"/>
          <w:sz w:val="24"/>
          <w:lang w:eastAsia="hr-HR"/>
        </w:rPr>
      </w:pPr>
    </w:p>
    <w:sectPr w:rsidR="0055022C" w:rsidSect="002943C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6021"/>
    <w:multiLevelType w:val="multilevel"/>
    <w:tmpl w:val="32B49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682D5C"/>
    <w:multiLevelType w:val="hybridMultilevel"/>
    <w:tmpl w:val="CA105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7F2C"/>
    <w:multiLevelType w:val="hybridMultilevel"/>
    <w:tmpl w:val="5426B5D6"/>
    <w:lvl w:ilvl="0" w:tplc="A5FE823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E6865"/>
    <w:multiLevelType w:val="hybridMultilevel"/>
    <w:tmpl w:val="9098A6DE"/>
    <w:lvl w:ilvl="0" w:tplc="2ED657F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5400">
    <w:abstractNumId w:val="0"/>
  </w:num>
  <w:num w:numId="2" w16cid:durableId="1628389939">
    <w:abstractNumId w:val="2"/>
  </w:num>
  <w:num w:numId="3" w16cid:durableId="1633246497">
    <w:abstractNumId w:val="4"/>
  </w:num>
  <w:num w:numId="4" w16cid:durableId="2103917223">
    <w:abstractNumId w:val="3"/>
  </w:num>
  <w:num w:numId="5" w16cid:durableId="162727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2C"/>
    <w:rsid w:val="00071D7D"/>
    <w:rsid w:val="000B656D"/>
    <w:rsid w:val="000E220E"/>
    <w:rsid w:val="002943CE"/>
    <w:rsid w:val="002A2ADC"/>
    <w:rsid w:val="003A5D3E"/>
    <w:rsid w:val="00460FD9"/>
    <w:rsid w:val="00547010"/>
    <w:rsid w:val="0055022C"/>
    <w:rsid w:val="006D5EEF"/>
    <w:rsid w:val="0076097C"/>
    <w:rsid w:val="007B6BA2"/>
    <w:rsid w:val="008E2C1B"/>
    <w:rsid w:val="0097675F"/>
    <w:rsid w:val="009D4584"/>
    <w:rsid w:val="00AE5801"/>
    <w:rsid w:val="00B00332"/>
    <w:rsid w:val="00DA1EE9"/>
    <w:rsid w:val="00F71572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B903"/>
  <w15:chartTrackingRefBased/>
  <w15:docId w15:val="{352EB8B6-4AC3-4873-B936-225FAF9F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2C"/>
    <w:pPr>
      <w:spacing w:after="200" w:line="276" w:lineRule="auto"/>
    </w:pPr>
    <w:rPr>
      <w:rFonts w:ascii="Calibri" w:eastAsia="Calibri" w:hAnsi="Calibri" w:cs="Times New Roman"/>
      <w:color w:val="000000"/>
      <w:kern w:val="0"/>
      <w14:ligatures w14:val="none"/>
    </w:rPr>
  </w:style>
  <w:style w:type="paragraph" w:styleId="Naslov7">
    <w:name w:val="heading 7"/>
    <w:basedOn w:val="Normal"/>
    <w:next w:val="Normal"/>
    <w:link w:val="Naslov7Char"/>
    <w:qFormat/>
    <w:rsid w:val="0055022C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auto"/>
      <w:sz w:val="20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5502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5022C"/>
    <w:rPr>
      <w:rFonts w:ascii="Arial" w:eastAsia="Times New Roman" w:hAnsi="Arial" w:cs="Arial"/>
      <w:b/>
      <w:bCs/>
      <w:kern w:val="0"/>
      <w:sz w:val="20"/>
      <w:szCs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rsid w:val="0055022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Bezproreda">
    <w:name w:val="No Spacing"/>
    <w:uiPriority w:val="99"/>
    <w:qFormat/>
    <w:rsid w:val="0055022C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55022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5022C"/>
    <w:rPr>
      <w:color w:val="0000FF"/>
      <w:u w:val="single"/>
    </w:rPr>
  </w:style>
  <w:style w:type="paragraph" w:customStyle="1" w:styleId="clanak">
    <w:name w:val="clanak"/>
    <w:basedOn w:val="Normal"/>
    <w:rsid w:val="005502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hr-HR"/>
    </w:rPr>
  </w:style>
  <w:style w:type="paragraph" w:customStyle="1" w:styleId="t-9-8">
    <w:name w:val="t-9-8"/>
    <w:basedOn w:val="Normal"/>
    <w:rsid w:val="005502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hr-HR"/>
    </w:rPr>
  </w:style>
  <w:style w:type="paragraph" w:customStyle="1" w:styleId="box460262">
    <w:name w:val="box_460262"/>
    <w:basedOn w:val="Normal"/>
    <w:rsid w:val="005502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7765" TargetMode="External"/><Relationship Id="rId13" Type="http://schemas.openxmlformats.org/officeDocument/2006/relationships/hyperlink" Target="https://www.zakon.hr/cms.htm?id=1854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hr/cms.htm?id=1854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4077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kon.hr/cms.htm?id=4221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zakon.hr/cms.htm?id=39341" TargetMode="External"/><Relationship Id="rId10" Type="http://schemas.openxmlformats.org/officeDocument/2006/relationships/hyperlink" Target="https://www.zakon.hr/cms.htm?id=3933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zakon.hr/cms.htm?id=17767" TargetMode="External"/><Relationship Id="rId14" Type="http://schemas.openxmlformats.org/officeDocument/2006/relationships/hyperlink" Target="https://www.zakon.hr/cms.htm?id=358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0BCD6-FCA5-4A34-BEDA-450D85A8E42C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65B96630-1F76-44FE-8F89-558BA3156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5E9C1-3AD3-41BA-81DB-AAB746A1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Čulin</dc:creator>
  <cp:keywords/>
  <dc:description/>
  <cp:lastModifiedBy>Izidora Kušen</cp:lastModifiedBy>
  <cp:revision>3</cp:revision>
  <dcterms:created xsi:type="dcterms:W3CDTF">2023-06-15T11:09:00Z</dcterms:created>
  <dcterms:modified xsi:type="dcterms:W3CDTF">2023-06-27T08:57:00Z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